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宋体" w:hAnsi="宋体" w:eastAsia="宋体" w:cs="宋体"/>
          <w:kern w:val="0"/>
          <w:sz w:val="44"/>
          <w:szCs w:val="52"/>
        </w:rPr>
      </w:pPr>
      <w:r>
        <w:rPr>
          <w:rFonts w:hint="eastAsia" w:ascii="宋体" w:hAnsi="宋体" w:eastAsia="宋体" w:cs="宋体"/>
          <w:kern w:val="0"/>
          <w:sz w:val="44"/>
          <w:szCs w:val="52"/>
          <w:lang w:eastAsia="zh-CN"/>
        </w:rPr>
        <w:t>楚雄州医保药品</w:t>
      </w:r>
      <w:r>
        <w:rPr>
          <w:rFonts w:hint="eastAsia" w:ascii="宋体" w:hAnsi="宋体" w:eastAsia="宋体" w:cs="宋体"/>
          <w:kern w:val="0"/>
          <w:sz w:val="44"/>
          <w:szCs w:val="52"/>
        </w:rPr>
        <w:t>“双通道”管理办法</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宋体" w:hAnsi="宋体" w:eastAsia="宋体" w:cs="宋体"/>
          <w:kern w:val="0"/>
          <w:sz w:val="44"/>
          <w:szCs w:val="44"/>
          <w:lang w:eastAsia="zh-CN"/>
        </w:rPr>
      </w:pPr>
      <w:r>
        <w:rPr>
          <w:rFonts w:hint="eastAsia" w:ascii="宋体" w:hAnsi="宋体" w:eastAsia="宋体" w:cs="宋体"/>
          <w:kern w:val="0"/>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eastAsia" w:ascii="楷体_GB2312" w:hAnsi="楷体_GB2312" w:eastAsia="楷体_GB2312" w:cs="楷体_GB2312"/>
          <w:kern w:val="0"/>
          <w:sz w:val="32"/>
          <w:szCs w:val="40"/>
          <w:lang w:eastAsia="zh-CN"/>
        </w:rPr>
      </w:pPr>
      <w:r>
        <w:rPr>
          <w:rFonts w:hint="eastAsia" w:ascii="楷体_GB2312" w:hAnsi="楷体_GB2312" w:eastAsia="楷体_GB2312" w:cs="楷体_GB2312"/>
          <w:kern w:val="0"/>
          <w:sz w:val="32"/>
          <w:szCs w:val="40"/>
          <w:lang w:eastAsia="zh-CN"/>
        </w:rPr>
        <w:t>（</w:t>
      </w:r>
      <w:r>
        <w:rPr>
          <w:rFonts w:hint="eastAsia" w:ascii="楷体_GB2312" w:hAnsi="楷体_GB2312" w:eastAsia="楷体_GB2312" w:cs="楷体_GB2312"/>
          <w:kern w:val="0"/>
          <w:sz w:val="32"/>
          <w:szCs w:val="40"/>
          <w:lang w:val="en-US" w:eastAsia="zh-CN"/>
        </w:rPr>
        <w:t>2022年6月27日</w:t>
      </w:r>
      <w:r>
        <w:rPr>
          <w:rFonts w:hint="eastAsia" w:ascii="楷体_GB2312" w:hAnsi="楷体_GB2312" w:eastAsia="楷体_GB2312" w:cs="楷体_GB2312"/>
          <w:sz w:val="32"/>
          <w:szCs w:val="32"/>
        </w:rPr>
        <w:t>楚医保</w:t>
      </w:r>
      <w:r>
        <w:rPr>
          <w:rFonts w:hint="eastAsia" w:ascii="楷体_GB2312" w:hAnsi="楷体_GB2312" w:eastAsia="楷体_GB2312" w:cs="楷体_GB2312"/>
          <w:sz w:val="32"/>
          <w:szCs w:val="32"/>
          <w:lang w:eastAsia="zh-CN"/>
        </w:rPr>
        <w:t>规</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22</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号</w:t>
      </w:r>
      <w:r>
        <w:rPr>
          <w:rFonts w:hint="eastAsia" w:ascii="楷体_GB2312" w:hAnsi="楷体_GB2312" w:eastAsia="楷体_GB2312" w:cs="楷体_GB2312"/>
          <w:sz w:val="32"/>
          <w:szCs w:val="32"/>
          <w:lang w:val="en-US" w:eastAsia="zh-CN"/>
        </w:rPr>
        <w:t xml:space="preserve">发布 </w:t>
      </w:r>
      <w:r>
        <w:rPr>
          <w:rFonts w:hint="eastAsia" w:ascii="楷体_GB2312" w:hAnsi="楷体_GB2312" w:eastAsia="楷体_GB2312" w:cs="楷体_GB2312"/>
          <w:kern w:val="0"/>
          <w:sz w:val="32"/>
          <w:szCs w:val="40"/>
        </w:rPr>
        <w:t>本办法自</w:t>
      </w:r>
      <w:r>
        <w:rPr>
          <w:rFonts w:hint="eastAsia" w:ascii="楷体_GB2312" w:hAnsi="楷体_GB2312" w:eastAsia="楷体_GB2312" w:cs="楷体_GB2312"/>
          <w:kern w:val="0"/>
          <w:sz w:val="32"/>
          <w:szCs w:val="40"/>
          <w:lang w:val="en-US" w:eastAsia="zh-CN"/>
        </w:rPr>
        <w:t>2022年7月1日起</w:t>
      </w:r>
      <w:r>
        <w:rPr>
          <w:rFonts w:hint="eastAsia" w:ascii="楷体_GB2312" w:hAnsi="楷体_GB2312" w:eastAsia="楷体_GB2312" w:cs="楷体_GB2312"/>
          <w:kern w:val="0"/>
          <w:sz w:val="32"/>
          <w:szCs w:val="40"/>
        </w:rPr>
        <w:t>施行</w:t>
      </w:r>
      <w:r>
        <w:rPr>
          <w:rFonts w:hint="eastAsia" w:ascii="楷体_GB2312" w:hAnsi="楷体_GB2312" w:eastAsia="楷体_GB2312" w:cs="楷体_GB2312"/>
          <w:kern w:val="0"/>
          <w:sz w:val="32"/>
          <w:szCs w:val="40"/>
          <w:lang w:eastAsia="zh-CN"/>
        </w:rPr>
        <w:t>）</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kern w:val="0"/>
          <w:sz w:val="32"/>
          <w:szCs w:val="40"/>
          <w:lang w:val="en-US" w:eastAsia="zh-CN"/>
        </w:rPr>
      </w:pPr>
      <w:r>
        <w:rPr>
          <w:rFonts w:hint="eastAsia" w:ascii="黑体" w:hAnsi="黑体" w:eastAsia="黑体" w:cs="黑体"/>
          <w:kern w:val="0"/>
          <w:sz w:val="32"/>
          <w:szCs w:val="40"/>
          <w:lang w:eastAsia="zh-CN"/>
        </w:rPr>
        <w:t>第一章</w:t>
      </w:r>
      <w:r>
        <w:rPr>
          <w:rFonts w:hint="eastAsia" w:ascii="黑体" w:hAnsi="黑体" w:eastAsia="黑体" w:cs="黑体"/>
          <w:kern w:val="0"/>
          <w:sz w:val="32"/>
          <w:szCs w:val="40"/>
          <w:lang w:val="en-US" w:eastAsia="zh-CN"/>
        </w:rPr>
        <w:t xml:space="preserve">  总  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黑体" w:hAnsi="黑体" w:eastAsia="黑体" w:cs="黑体"/>
          <w:kern w:val="0"/>
          <w:sz w:val="32"/>
          <w:szCs w:val="40"/>
          <w:lang w:eastAsia="zh-CN"/>
        </w:rPr>
        <w:t xml:space="preserve">第一条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rPr>
        <w:t>为</w:t>
      </w:r>
      <w:r>
        <w:rPr>
          <w:rFonts w:hint="eastAsia" w:ascii="仿宋_GB2312" w:hAnsi="仿宋_GB2312" w:eastAsia="仿宋_GB2312" w:cs="仿宋_GB2312"/>
          <w:kern w:val="0"/>
          <w:sz w:val="32"/>
          <w:szCs w:val="40"/>
          <w:lang w:eastAsia="zh-CN"/>
        </w:rPr>
        <w:t>加强和规范医保药品“双通道”管理，</w:t>
      </w:r>
      <w:r>
        <w:rPr>
          <w:rFonts w:hint="eastAsia" w:ascii="仿宋_GB2312" w:hAnsi="仿宋_GB2312" w:eastAsia="仿宋_GB2312" w:cs="仿宋_GB2312"/>
          <w:kern w:val="0"/>
          <w:sz w:val="32"/>
          <w:szCs w:val="40"/>
        </w:rPr>
        <w:t>进一步</w:t>
      </w:r>
      <w:r>
        <w:rPr>
          <w:rFonts w:hint="eastAsia" w:ascii="仿宋_GB2312" w:hAnsi="仿宋_GB2312" w:eastAsia="仿宋_GB2312" w:cs="仿宋_GB2312"/>
          <w:kern w:val="0"/>
          <w:sz w:val="32"/>
          <w:szCs w:val="40"/>
          <w:lang w:eastAsia="zh-CN"/>
        </w:rPr>
        <w:t>拓宽基本医疗保险药品</w:t>
      </w:r>
      <w:r>
        <w:rPr>
          <w:rFonts w:hint="eastAsia" w:ascii="仿宋_GB2312" w:hAnsi="仿宋_GB2312" w:eastAsia="仿宋_GB2312" w:cs="仿宋_GB2312"/>
          <w:kern w:val="0"/>
          <w:sz w:val="32"/>
          <w:szCs w:val="40"/>
        </w:rPr>
        <w:t>保障</w:t>
      </w:r>
      <w:r>
        <w:rPr>
          <w:rFonts w:hint="eastAsia" w:ascii="仿宋_GB2312" w:hAnsi="仿宋_GB2312" w:eastAsia="仿宋_GB2312" w:cs="仿宋_GB2312"/>
          <w:kern w:val="0"/>
          <w:sz w:val="32"/>
          <w:szCs w:val="40"/>
          <w:lang w:eastAsia="zh-CN"/>
        </w:rPr>
        <w:t>渠道，提高参保患者用药的可及性和便利性，</w:t>
      </w:r>
      <w:r>
        <w:rPr>
          <w:rFonts w:hint="eastAsia" w:ascii="仿宋_GB2312" w:hAnsi="仿宋_GB2312" w:eastAsia="仿宋_GB2312" w:cs="仿宋_GB2312"/>
          <w:kern w:val="0"/>
          <w:sz w:val="32"/>
          <w:szCs w:val="40"/>
        </w:rPr>
        <w:t>根据《基本医疗保险用药管理暂行办法》</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国家医疗保障局令第1号</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和《</w:t>
      </w:r>
      <w:r>
        <w:rPr>
          <w:rFonts w:hint="eastAsia" w:ascii="仿宋_GB2312" w:hAnsi="仿宋_GB2312" w:eastAsia="仿宋_GB2312" w:cs="仿宋_GB2312"/>
          <w:kern w:val="0"/>
          <w:sz w:val="32"/>
          <w:szCs w:val="40"/>
          <w:lang w:eastAsia="zh-CN"/>
        </w:rPr>
        <w:t>云南省医疗保障局</w:t>
      </w:r>
      <w:r>
        <w:rPr>
          <w:rFonts w:hint="eastAsia" w:ascii="仿宋_GB2312" w:hAnsi="仿宋_GB2312" w:eastAsia="仿宋_GB2312" w:cs="仿宋_GB2312"/>
          <w:kern w:val="0"/>
          <w:sz w:val="32"/>
          <w:szCs w:val="40"/>
          <w:lang w:val="en-US" w:eastAsia="zh-CN"/>
        </w:rPr>
        <w:t xml:space="preserve"> 云南省</w:t>
      </w:r>
      <w:r>
        <w:rPr>
          <w:rFonts w:hint="eastAsia" w:ascii="仿宋_GB2312" w:hAnsi="仿宋_GB2312" w:eastAsia="仿宋_GB2312" w:cs="仿宋_GB2312"/>
          <w:kern w:val="0"/>
          <w:sz w:val="32"/>
          <w:szCs w:val="40"/>
        </w:rPr>
        <w:t>卫</w:t>
      </w:r>
      <w:r>
        <w:rPr>
          <w:rFonts w:hint="eastAsia" w:ascii="仿宋_GB2312" w:hAnsi="仿宋_GB2312" w:eastAsia="仿宋_GB2312" w:cs="仿宋_GB2312"/>
          <w:kern w:val="0"/>
          <w:sz w:val="32"/>
          <w:szCs w:val="40"/>
          <w:lang w:eastAsia="zh-CN"/>
        </w:rPr>
        <w:t>生健康委员会</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lang w:eastAsia="zh-CN"/>
        </w:rPr>
        <w:t>云南省药品监督管理局</w:t>
      </w:r>
      <w:r>
        <w:rPr>
          <w:rFonts w:hint="eastAsia" w:ascii="仿宋_GB2312" w:hAnsi="仿宋_GB2312" w:eastAsia="仿宋_GB2312" w:cs="仿宋_GB2312"/>
          <w:kern w:val="0"/>
          <w:sz w:val="32"/>
          <w:szCs w:val="40"/>
        </w:rPr>
        <w:t>关于建立完善国家医保谈判药品“双通道”管理机制的</w:t>
      </w:r>
      <w:r>
        <w:rPr>
          <w:rFonts w:hint="eastAsia" w:ascii="仿宋_GB2312" w:hAnsi="仿宋_GB2312" w:eastAsia="仿宋_GB2312" w:cs="仿宋_GB2312"/>
          <w:kern w:val="0"/>
          <w:sz w:val="32"/>
          <w:szCs w:val="40"/>
          <w:lang w:eastAsia="zh-CN"/>
        </w:rPr>
        <w:t>通知</w:t>
      </w:r>
      <w:r>
        <w:rPr>
          <w:rFonts w:hint="eastAsia" w:ascii="仿宋_GB2312" w:hAnsi="仿宋_GB2312" w:eastAsia="仿宋_GB2312" w:cs="仿宋_GB2312"/>
          <w:kern w:val="0"/>
          <w:sz w:val="32"/>
          <w:szCs w:val="40"/>
        </w:rPr>
        <w:t>》</w:t>
      </w:r>
      <w:r>
        <w:rPr>
          <w:rFonts w:hint="eastAsia" w:ascii="仿宋_GB2312" w:hAnsi="仿宋_GB2312" w:eastAsia="仿宋_GB2312" w:cs="仿宋_GB2312"/>
          <w:kern w:val="0"/>
          <w:sz w:val="32"/>
          <w:szCs w:val="40"/>
          <w:lang w:eastAsia="zh-CN"/>
        </w:rPr>
        <w:t>（云</w:t>
      </w:r>
      <w:r>
        <w:rPr>
          <w:rFonts w:hint="eastAsia" w:ascii="仿宋_GB2312" w:hAnsi="仿宋_GB2312" w:eastAsia="仿宋_GB2312" w:cs="仿宋_GB2312"/>
          <w:kern w:val="0"/>
          <w:sz w:val="32"/>
          <w:szCs w:val="40"/>
        </w:rPr>
        <w:t>医保〔2021〕</w:t>
      </w:r>
      <w:r>
        <w:rPr>
          <w:rFonts w:hint="eastAsia" w:ascii="仿宋_GB2312" w:hAnsi="仿宋_GB2312" w:eastAsia="仿宋_GB2312" w:cs="仿宋_GB2312"/>
          <w:kern w:val="0"/>
          <w:sz w:val="32"/>
          <w:szCs w:val="40"/>
          <w:lang w:val="en-US" w:eastAsia="zh-CN"/>
        </w:rPr>
        <w:t>130</w:t>
      </w:r>
      <w:r>
        <w:rPr>
          <w:rFonts w:hint="eastAsia" w:ascii="仿宋_GB2312" w:hAnsi="仿宋_GB2312" w:eastAsia="仿宋_GB2312" w:cs="仿宋_GB2312"/>
          <w:kern w:val="0"/>
          <w:sz w:val="32"/>
          <w:szCs w:val="40"/>
        </w:rPr>
        <w:t>号</w:t>
      </w:r>
      <w:r>
        <w:rPr>
          <w:rFonts w:hint="eastAsia" w:ascii="仿宋_GB2312" w:hAnsi="仿宋_GB2312" w:eastAsia="仿宋_GB2312" w:cs="仿宋_GB2312"/>
          <w:kern w:val="0"/>
          <w:sz w:val="32"/>
          <w:szCs w:val="40"/>
          <w:lang w:eastAsia="zh-CN"/>
        </w:rPr>
        <w:t>）等国家和省有关</w:t>
      </w:r>
      <w:r>
        <w:rPr>
          <w:rFonts w:hint="eastAsia" w:ascii="仿宋_GB2312" w:hAnsi="仿宋_GB2312" w:eastAsia="仿宋_GB2312" w:cs="仿宋_GB2312"/>
          <w:kern w:val="0"/>
          <w:sz w:val="32"/>
          <w:szCs w:val="40"/>
        </w:rPr>
        <w:t>规定，</w:t>
      </w:r>
      <w:r>
        <w:rPr>
          <w:rFonts w:hint="eastAsia" w:ascii="仿宋_GB2312" w:hAnsi="仿宋_GB2312" w:eastAsia="仿宋_GB2312" w:cs="仿宋_GB2312"/>
          <w:kern w:val="0"/>
          <w:sz w:val="32"/>
          <w:szCs w:val="40"/>
          <w:lang w:eastAsia="zh-CN"/>
        </w:rPr>
        <w:t>结合楚雄州实际，</w:t>
      </w:r>
      <w:r>
        <w:rPr>
          <w:rFonts w:hint="eastAsia" w:ascii="仿宋_GB2312" w:hAnsi="仿宋_GB2312" w:eastAsia="仿宋_GB2312" w:cs="仿宋_GB2312"/>
          <w:kern w:val="0"/>
          <w:sz w:val="32"/>
          <w:szCs w:val="40"/>
        </w:rPr>
        <w:t>制定本办法。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黑体" w:hAnsi="黑体" w:eastAsia="黑体" w:cs="黑体"/>
          <w:kern w:val="0"/>
          <w:sz w:val="32"/>
          <w:szCs w:val="40"/>
          <w:lang w:eastAsia="zh-CN"/>
        </w:rPr>
        <w:t>第二条</w:t>
      </w:r>
      <w:r>
        <w:rPr>
          <w:rFonts w:hint="eastAsia" w:ascii="黑体" w:hAnsi="黑体" w:eastAsia="黑体" w:cs="黑体"/>
          <w:kern w:val="0"/>
          <w:sz w:val="32"/>
          <w:szCs w:val="40"/>
          <w:lang w:val="en-US" w:eastAsia="zh-CN"/>
        </w:rPr>
        <w:t xml:space="preserve">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lang w:eastAsia="zh-CN"/>
        </w:rPr>
        <w:t>本办法所称的医保药品</w:t>
      </w:r>
      <w:r>
        <w:rPr>
          <w:rFonts w:hint="eastAsia" w:ascii="仿宋_GB2312" w:hAnsi="仿宋_GB2312" w:eastAsia="仿宋_GB2312" w:cs="仿宋_GB2312"/>
          <w:kern w:val="0"/>
          <w:sz w:val="32"/>
          <w:szCs w:val="40"/>
        </w:rPr>
        <w:t>“双通道”</w:t>
      </w:r>
      <w:r>
        <w:rPr>
          <w:rFonts w:hint="eastAsia" w:ascii="仿宋_GB2312" w:hAnsi="仿宋_GB2312" w:eastAsia="仿宋_GB2312" w:cs="仿宋_GB2312"/>
          <w:kern w:val="0"/>
          <w:sz w:val="32"/>
          <w:szCs w:val="40"/>
          <w:lang w:eastAsia="zh-CN"/>
        </w:rPr>
        <w:t>管理机制，</w:t>
      </w:r>
      <w:r>
        <w:rPr>
          <w:rFonts w:hint="eastAsia" w:ascii="仿宋_GB2312" w:hAnsi="仿宋_GB2312" w:eastAsia="仿宋_GB2312" w:cs="仿宋_GB2312"/>
          <w:kern w:val="0"/>
          <w:sz w:val="32"/>
          <w:szCs w:val="40"/>
        </w:rPr>
        <w:t>是指通过</w:t>
      </w:r>
      <w:r>
        <w:rPr>
          <w:rFonts w:hint="eastAsia" w:ascii="仿宋_GB2312" w:hAnsi="仿宋_GB2312" w:eastAsia="仿宋_GB2312" w:cs="仿宋_GB2312"/>
          <w:kern w:val="0"/>
          <w:sz w:val="32"/>
          <w:szCs w:val="40"/>
          <w:lang w:eastAsia="zh-CN"/>
        </w:rPr>
        <w:t>州内</w:t>
      </w:r>
      <w:r>
        <w:rPr>
          <w:rFonts w:hint="eastAsia" w:ascii="仿宋_GB2312" w:hAnsi="仿宋_GB2312" w:eastAsia="仿宋_GB2312" w:cs="仿宋_GB2312"/>
          <w:kern w:val="0"/>
          <w:sz w:val="32"/>
          <w:szCs w:val="40"/>
        </w:rPr>
        <w:t>定点医疗机构</w:t>
      </w:r>
      <w:r>
        <w:rPr>
          <w:rFonts w:hint="eastAsia" w:ascii="仿宋_GB2312" w:hAnsi="仿宋_GB2312" w:eastAsia="仿宋_GB2312" w:cs="仿宋_GB2312"/>
          <w:kern w:val="0"/>
          <w:sz w:val="32"/>
          <w:szCs w:val="40"/>
          <w:lang w:val="en-US" w:eastAsia="zh-CN"/>
        </w:rPr>
        <w:t>（含州内定点“互联网”医疗机构）</w:t>
      </w:r>
      <w:r>
        <w:rPr>
          <w:rFonts w:hint="eastAsia" w:ascii="仿宋_GB2312" w:hAnsi="仿宋_GB2312" w:eastAsia="仿宋_GB2312" w:cs="仿宋_GB2312"/>
          <w:kern w:val="0"/>
          <w:sz w:val="32"/>
          <w:szCs w:val="40"/>
        </w:rPr>
        <w:t>和定点零售药店两个渠道，满足</w:t>
      </w:r>
      <w:r>
        <w:rPr>
          <w:rFonts w:hint="eastAsia" w:ascii="仿宋_GB2312" w:hAnsi="仿宋_GB2312" w:eastAsia="仿宋_GB2312" w:cs="仿宋_GB2312"/>
          <w:kern w:val="0"/>
          <w:sz w:val="32"/>
          <w:szCs w:val="40"/>
          <w:lang w:val="en-US" w:eastAsia="zh-CN"/>
        </w:rPr>
        <w:t>国家医保</w:t>
      </w:r>
      <w:r>
        <w:rPr>
          <w:rFonts w:hint="eastAsia" w:ascii="仿宋_GB2312" w:hAnsi="仿宋_GB2312" w:eastAsia="仿宋_GB2312" w:cs="仿宋_GB2312"/>
          <w:kern w:val="0"/>
          <w:sz w:val="32"/>
          <w:szCs w:val="40"/>
        </w:rPr>
        <w:t>谈判药品</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lang w:val="en-US" w:eastAsia="zh-CN"/>
        </w:rPr>
        <w:t>以下简称谈判药品</w:t>
      </w:r>
      <w:r>
        <w:rPr>
          <w:rFonts w:hint="eastAsia" w:ascii="仿宋_GB2312" w:hAnsi="仿宋_GB2312" w:eastAsia="仿宋_GB2312" w:cs="仿宋_GB2312"/>
          <w:kern w:val="0"/>
          <w:sz w:val="32"/>
          <w:szCs w:val="40"/>
          <w:lang w:eastAsia="zh-CN"/>
        </w:rPr>
        <w:t>）、特殊病和慢性病、“两病”药品</w:t>
      </w:r>
      <w:r>
        <w:rPr>
          <w:rFonts w:hint="eastAsia" w:ascii="仿宋_GB2312" w:hAnsi="仿宋_GB2312" w:eastAsia="仿宋_GB2312" w:cs="仿宋_GB2312"/>
          <w:kern w:val="0"/>
          <w:sz w:val="32"/>
          <w:szCs w:val="40"/>
        </w:rPr>
        <w:t>供应保障、临床使用等方面的合理需求，并同步纳入医保支付的机制。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eastAsia="zh-CN"/>
        </w:rPr>
      </w:pPr>
      <w:r>
        <w:rPr>
          <w:rFonts w:hint="eastAsia" w:ascii="黑体" w:hAnsi="黑体" w:eastAsia="黑体" w:cs="黑体"/>
          <w:kern w:val="0"/>
          <w:sz w:val="32"/>
          <w:szCs w:val="40"/>
          <w:lang w:eastAsia="zh-CN"/>
        </w:rPr>
        <w:t>第三条</w:t>
      </w:r>
      <w:r>
        <w:rPr>
          <w:rFonts w:hint="eastAsia" w:ascii="黑体" w:hAnsi="黑体" w:eastAsia="黑体" w:cs="黑体"/>
          <w:kern w:val="0"/>
          <w:sz w:val="32"/>
          <w:szCs w:val="40"/>
          <w:lang w:val="en-US" w:eastAsia="zh-CN"/>
        </w:rPr>
        <w:t xml:space="preserve"> </w:t>
      </w:r>
      <w:r>
        <w:rPr>
          <w:rFonts w:hint="eastAsia" w:ascii="仿宋_GB2312" w:hAnsi="仿宋_GB2312" w:eastAsia="仿宋_GB2312" w:cs="仿宋_GB2312"/>
          <w:kern w:val="0"/>
          <w:sz w:val="32"/>
          <w:szCs w:val="40"/>
        </w:rPr>
        <w:t xml:space="preserve"> 纳入“双通道”管理的药品</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以下简称“双通道”管理药品</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为临床价值高、患者急需、替代性不高，适合定点医疗机构门诊和定点零售药店渠道供应保障，</w:t>
      </w:r>
      <w:r>
        <w:rPr>
          <w:rFonts w:hint="eastAsia" w:ascii="仿宋_GB2312" w:hAnsi="仿宋_GB2312" w:eastAsia="仿宋_GB2312" w:cs="仿宋_GB2312"/>
          <w:kern w:val="0"/>
          <w:sz w:val="32"/>
          <w:szCs w:val="40"/>
          <w:lang w:eastAsia="zh-CN"/>
        </w:rPr>
        <w:t>纳入医保支付的药品。谈判药品（含同通用名仿制药，下同）纳入保障范围。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仿宋_GB2312" w:hAnsi="仿宋_GB2312" w:eastAsia="仿宋_GB2312" w:cs="仿宋_GB2312"/>
          <w:kern w:val="0"/>
          <w:sz w:val="32"/>
          <w:szCs w:val="40"/>
          <w:lang w:eastAsia="zh-CN"/>
        </w:rPr>
        <w:t>探索将门诊使用的城镇职工、城乡居民基本医疗保险门诊特殊病、慢性病其他用药</w:t>
      </w:r>
      <w:r>
        <w:rPr>
          <w:rFonts w:hint="eastAsia" w:ascii="仿宋_GB2312" w:hAnsi="仿宋_GB2312" w:eastAsia="仿宋_GB2312" w:cs="仿宋_GB2312"/>
          <w:kern w:val="0"/>
          <w:sz w:val="32"/>
          <w:szCs w:val="40"/>
          <w:lang w:val="en-US" w:eastAsia="zh-CN"/>
        </w:rPr>
        <w:t>（麻醉药品、精神药品、医疗用毒性药品、放射性药品等</w:t>
      </w:r>
      <w:r>
        <w:rPr>
          <w:rFonts w:hint="eastAsia" w:ascii="仿宋_GB2312" w:hAnsi="仿宋_GB2312" w:eastAsia="仿宋_GB2312" w:cs="仿宋_GB2312"/>
          <w:kern w:val="0"/>
          <w:sz w:val="32"/>
          <w:szCs w:val="40"/>
          <w:lang w:eastAsia="zh-CN"/>
        </w:rPr>
        <w:t>特殊药品</w:t>
      </w:r>
      <w:r>
        <w:rPr>
          <w:rFonts w:hint="eastAsia" w:ascii="仿宋_GB2312" w:hAnsi="仿宋_GB2312" w:eastAsia="仿宋_GB2312" w:cs="仿宋_GB2312"/>
          <w:kern w:val="0"/>
          <w:sz w:val="32"/>
          <w:szCs w:val="40"/>
          <w:lang w:val="en-US" w:eastAsia="zh-CN"/>
        </w:rPr>
        <w:t>除外）</w:t>
      </w:r>
      <w:r>
        <w:rPr>
          <w:rFonts w:hint="eastAsia" w:ascii="仿宋_GB2312" w:hAnsi="仿宋_GB2312" w:eastAsia="仿宋_GB2312" w:cs="仿宋_GB2312"/>
          <w:kern w:val="0"/>
          <w:sz w:val="32"/>
          <w:szCs w:val="40"/>
        </w:rPr>
        <w:t>纳入“双通道”</w:t>
      </w:r>
      <w:r>
        <w:rPr>
          <w:rFonts w:hint="eastAsia" w:ascii="仿宋_GB2312" w:hAnsi="仿宋_GB2312" w:eastAsia="仿宋_GB2312" w:cs="仿宋_GB2312"/>
          <w:kern w:val="0"/>
          <w:sz w:val="32"/>
          <w:szCs w:val="40"/>
          <w:lang w:eastAsia="zh-CN"/>
        </w:rPr>
        <w:t>保障范围</w:t>
      </w:r>
      <w:r>
        <w:rPr>
          <w:rFonts w:hint="eastAsia" w:ascii="仿宋_GB2312" w:hAnsi="仿宋_GB2312" w:eastAsia="仿宋_GB2312" w:cs="仿宋_GB2312"/>
          <w:kern w:val="0"/>
          <w:sz w:val="32"/>
          <w:szCs w:val="40"/>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黑体" w:hAnsi="黑体" w:eastAsia="黑体" w:cs="黑体"/>
          <w:kern w:val="0"/>
          <w:sz w:val="32"/>
          <w:szCs w:val="40"/>
          <w:lang w:eastAsia="zh-CN"/>
        </w:rPr>
        <w:t>第四条</w:t>
      </w:r>
      <w:r>
        <w:rPr>
          <w:rFonts w:hint="eastAsia" w:ascii="黑体" w:hAnsi="黑体" w:eastAsia="黑体" w:cs="黑体"/>
          <w:kern w:val="0"/>
          <w:sz w:val="32"/>
          <w:szCs w:val="40"/>
          <w:lang w:val="en-US" w:eastAsia="zh-CN"/>
        </w:rPr>
        <w:t xml:space="preserve">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rPr>
        <w:t>“双通道”管理药品采取按通用名管理</w:t>
      </w:r>
      <w:r>
        <w:rPr>
          <w:rFonts w:hint="eastAsia" w:ascii="仿宋_GB2312" w:hAnsi="仿宋_GB2312" w:eastAsia="仿宋_GB2312" w:cs="仿宋_GB2312"/>
          <w:kern w:val="0"/>
          <w:sz w:val="32"/>
          <w:szCs w:val="40"/>
          <w:lang w:eastAsia="zh-CN"/>
        </w:rPr>
        <w:t>。州</w:t>
      </w:r>
      <w:r>
        <w:rPr>
          <w:rFonts w:hint="eastAsia" w:ascii="仿宋_GB2312" w:hAnsi="仿宋_GB2312" w:eastAsia="仿宋_GB2312" w:cs="仿宋_GB2312"/>
          <w:kern w:val="0"/>
          <w:sz w:val="32"/>
          <w:szCs w:val="40"/>
        </w:rPr>
        <w:t>级医疗保障行政部门建立完善“双通道”管理药品动态调整机制</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根</w:t>
      </w:r>
      <w:r>
        <w:rPr>
          <w:rFonts w:hint="eastAsia" w:ascii="仿宋_GB2312" w:hAnsi="仿宋_GB2312" w:eastAsia="仿宋_GB2312" w:cs="仿宋_GB2312"/>
          <w:kern w:val="0"/>
          <w:sz w:val="32"/>
          <w:szCs w:val="40"/>
          <w:lang w:eastAsia="zh-CN"/>
        </w:rPr>
        <w:t>据谈判药品</w:t>
      </w:r>
      <w:r>
        <w:rPr>
          <w:rFonts w:hint="eastAsia" w:ascii="仿宋_GB2312" w:hAnsi="仿宋_GB2312" w:eastAsia="仿宋_GB2312" w:cs="仿宋_GB2312"/>
          <w:kern w:val="0"/>
          <w:sz w:val="32"/>
          <w:szCs w:val="40"/>
        </w:rPr>
        <w:t>协议有效期及国家基本医疗保险药品目录调整时间</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综合考虑医保药品保障需求、基本医疗保险基金的收支情况、承受能力、目录管理等重点因素</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确定“双通道”管理药品调整的范围和具体条件。原则上每年动态调整一次。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黑体" w:hAnsi="黑体" w:eastAsia="黑体" w:cs="黑体"/>
          <w:kern w:val="0"/>
          <w:sz w:val="32"/>
          <w:szCs w:val="40"/>
          <w:lang w:eastAsia="zh-CN"/>
        </w:rPr>
        <w:t>第五条</w:t>
      </w:r>
      <w:r>
        <w:rPr>
          <w:rFonts w:hint="eastAsia" w:ascii="仿宋_GB2312" w:hAnsi="仿宋_GB2312" w:eastAsia="仿宋_GB2312" w:cs="仿宋_GB2312"/>
          <w:kern w:val="0"/>
          <w:sz w:val="32"/>
          <w:szCs w:val="40"/>
        </w:rPr>
        <w:t xml:space="preserve">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rPr>
        <w:t>“双通道”管理药品的保障对象为参加</w:t>
      </w:r>
      <w:r>
        <w:rPr>
          <w:rFonts w:hint="eastAsia" w:ascii="仿宋_GB2312" w:hAnsi="仿宋_GB2312" w:eastAsia="仿宋_GB2312" w:cs="仿宋_GB2312"/>
          <w:kern w:val="0"/>
          <w:sz w:val="32"/>
          <w:szCs w:val="40"/>
          <w:lang w:eastAsia="zh-CN"/>
        </w:rPr>
        <w:t>楚雄州</w:t>
      </w:r>
      <w:r>
        <w:rPr>
          <w:rFonts w:hint="eastAsia" w:ascii="仿宋_GB2312" w:hAnsi="仿宋_GB2312" w:eastAsia="仿宋_GB2312" w:cs="仿宋_GB2312"/>
          <w:kern w:val="0"/>
          <w:sz w:val="32"/>
          <w:szCs w:val="40"/>
        </w:rPr>
        <w:t>城镇职工或者城乡居民医疗保险，正常享受</w:t>
      </w:r>
      <w:r>
        <w:rPr>
          <w:rFonts w:hint="eastAsia" w:ascii="仿宋_GB2312" w:hAnsi="仿宋_GB2312" w:eastAsia="仿宋_GB2312" w:cs="仿宋_GB2312"/>
          <w:kern w:val="0"/>
          <w:sz w:val="32"/>
          <w:szCs w:val="40"/>
          <w:lang w:eastAsia="zh-CN"/>
        </w:rPr>
        <w:t>医疗保险</w:t>
      </w:r>
      <w:r>
        <w:rPr>
          <w:rFonts w:hint="eastAsia" w:ascii="仿宋_GB2312" w:hAnsi="仿宋_GB2312" w:eastAsia="仿宋_GB2312" w:cs="仿宋_GB2312"/>
          <w:kern w:val="0"/>
          <w:sz w:val="32"/>
          <w:szCs w:val="40"/>
        </w:rPr>
        <w:t>待遇的人员中符合“双通道”管理药品使用限定支付范围的</w:t>
      </w:r>
      <w:r>
        <w:rPr>
          <w:rFonts w:hint="eastAsia" w:ascii="仿宋_GB2312" w:hAnsi="仿宋_GB2312" w:eastAsia="仿宋_GB2312" w:cs="仿宋_GB2312"/>
          <w:kern w:val="0"/>
          <w:sz w:val="32"/>
          <w:szCs w:val="40"/>
          <w:lang w:eastAsia="zh-CN"/>
        </w:rPr>
        <w:t>医疗保险参保</w:t>
      </w:r>
      <w:r>
        <w:rPr>
          <w:rFonts w:hint="eastAsia" w:ascii="仿宋_GB2312" w:hAnsi="仿宋_GB2312" w:eastAsia="仿宋_GB2312" w:cs="仿宋_GB2312"/>
          <w:kern w:val="0"/>
          <w:sz w:val="32"/>
          <w:szCs w:val="40"/>
        </w:rPr>
        <w:t>患者</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以下简称“参保患者”</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黑体" w:hAnsi="黑体" w:eastAsia="黑体" w:cs="黑体"/>
          <w:kern w:val="0"/>
          <w:sz w:val="32"/>
          <w:szCs w:val="40"/>
          <w:lang w:eastAsia="zh-CN"/>
        </w:rPr>
        <w:t>第六条</w:t>
      </w:r>
      <w:r>
        <w:rPr>
          <w:rFonts w:hint="eastAsia" w:ascii="仿宋_GB2312" w:hAnsi="仿宋_GB2312" w:eastAsia="仿宋_GB2312" w:cs="仿宋_GB2312"/>
          <w:kern w:val="0"/>
          <w:sz w:val="32"/>
          <w:szCs w:val="40"/>
        </w:rPr>
        <w:t xml:space="preserve">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rPr>
        <w:t>全</w:t>
      </w:r>
      <w:r>
        <w:rPr>
          <w:rFonts w:hint="eastAsia" w:ascii="仿宋_GB2312" w:hAnsi="仿宋_GB2312" w:eastAsia="仿宋_GB2312" w:cs="仿宋_GB2312"/>
          <w:kern w:val="0"/>
          <w:sz w:val="32"/>
          <w:szCs w:val="40"/>
          <w:lang w:eastAsia="zh-CN"/>
        </w:rPr>
        <w:t>州</w:t>
      </w:r>
      <w:r>
        <w:rPr>
          <w:rFonts w:hint="eastAsia" w:ascii="仿宋_GB2312" w:hAnsi="仿宋_GB2312" w:eastAsia="仿宋_GB2312" w:cs="仿宋_GB2312"/>
          <w:kern w:val="0"/>
          <w:sz w:val="32"/>
          <w:szCs w:val="40"/>
        </w:rPr>
        <w:t>执行统一的“双通道”管理药品</w:t>
      </w:r>
      <w:r>
        <w:rPr>
          <w:rFonts w:hint="eastAsia" w:ascii="仿宋_GB2312" w:hAnsi="仿宋_GB2312" w:eastAsia="仿宋_GB2312" w:cs="仿宋_GB2312"/>
          <w:kern w:val="0"/>
          <w:sz w:val="32"/>
          <w:szCs w:val="40"/>
          <w:lang w:eastAsia="zh-CN"/>
        </w:rPr>
        <w:t>范围</w:t>
      </w:r>
      <w:r>
        <w:rPr>
          <w:rFonts w:hint="eastAsia" w:ascii="仿宋_GB2312" w:hAnsi="仿宋_GB2312" w:eastAsia="仿宋_GB2312" w:cs="仿宋_GB2312"/>
          <w:kern w:val="0"/>
          <w:sz w:val="32"/>
          <w:szCs w:val="40"/>
        </w:rPr>
        <w:t>和支付政策，各</w:t>
      </w:r>
      <w:r>
        <w:rPr>
          <w:rFonts w:hint="eastAsia" w:ascii="仿宋_GB2312" w:hAnsi="仿宋_GB2312" w:eastAsia="仿宋_GB2312" w:cs="仿宋_GB2312"/>
          <w:kern w:val="0"/>
          <w:sz w:val="32"/>
          <w:szCs w:val="40"/>
          <w:lang w:eastAsia="zh-CN"/>
        </w:rPr>
        <w:t>县市</w:t>
      </w:r>
      <w:r>
        <w:rPr>
          <w:rFonts w:hint="eastAsia" w:ascii="仿宋_GB2312" w:hAnsi="仿宋_GB2312" w:eastAsia="仿宋_GB2312" w:cs="仿宋_GB2312"/>
          <w:kern w:val="0"/>
          <w:sz w:val="32"/>
          <w:szCs w:val="40"/>
        </w:rPr>
        <w:t>不得自行制定目录或者以任何形式变通增</w:t>
      </w:r>
      <w:r>
        <w:rPr>
          <w:rFonts w:hint="eastAsia" w:ascii="仿宋_GB2312" w:hAnsi="仿宋_GB2312" w:eastAsia="仿宋_GB2312" w:cs="仿宋_GB2312"/>
          <w:kern w:val="0"/>
          <w:sz w:val="32"/>
          <w:szCs w:val="40"/>
          <w:lang w:eastAsia="zh-CN"/>
        </w:rPr>
        <w:t>减“双通道”范围</w:t>
      </w:r>
      <w:r>
        <w:rPr>
          <w:rFonts w:hint="eastAsia" w:ascii="仿宋_GB2312" w:hAnsi="仿宋_GB2312" w:eastAsia="仿宋_GB2312" w:cs="仿宋_GB2312"/>
          <w:kern w:val="0"/>
          <w:sz w:val="32"/>
          <w:szCs w:val="40"/>
        </w:rPr>
        <w:t>内药品，不得自行调整药品的</w:t>
      </w:r>
      <w:r>
        <w:rPr>
          <w:rFonts w:hint="eastAsia" w:ascii="仿宋_GB2312" w:hAnsi="仿宋_GB2312" w:eastAsia="仿宋_GB2312" w:cs="仿宋_GB2312"/>
          <w:kern w:val="0"/>
          <w:sz w:val="32"/>
          <w:szCs w:val="40"/>
          <w:lang w:eastAsia="zh-CN"/>
        </w:rPr>
        <w:t>支付</w:t>
      </w:r>
      <w:r>
        <w:rPr>
          <w:rFonts w:hint="eastAsia" w:ascii="仿宋_GB2312" w:hAnsi="仿宋_GB2312" w:eastAsia="仿宋_GB2312" w:cs="仿宋_GB2312"/>
          <w:kern w:val="0"/>
          <w:sz w:val="32"/>
          <w:szCs w:val="40"/>
        </w:rPr>
        <w:t>标准</w:t>
      </w:r>
      <w:r>
        <w:rPr>
          <w:rFonts w:hint="eastAsia" w:ascii="仿宋_GB2312" w:hAnsi="仿宋_GB2312" w:eastAsia="仿宋_GB2312" w:cs="仿宋_GB2312"/>
          <w:kern w:val="0"/>
          <w:sz w:val="32"/>
          <w:szCs w:val="40"/>
          <w:lang w:eastAsia="zh-CN"/>
        </w:rPr>
        <w:t>和</w:t>
      </w:r>
      <w:r>
        <w:rPr>
          <w:rFonts w:hint="eastAsia" w:ascii="仿宋_GB2312" w:hAnsi="仿宋_GB2312" w:eastAsia="仿宋_GB2312" w:cs="仿宋_GB2312"/>
          <w:kern w:val="0"/>
          <w:sz w:val="32"/>
          <w:szCs w:val="40"/>
        </w:rPr>
        <w:t>限定支付范围。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黑体" w:hAnsi="黑体" w:eastAsia="黑体" w:cs="黑体"/>
          <w:kern w:val="0"/>
          <w:sz w:val="32"/>
          <w:szCs w:val="40"/>
          <w:lang w:eastAsia="zh-CN"/>
        </w:rPr>
        <w:t xml:space="preserve">第七条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lang w:eastAsia="zh-CN"/>
        </w:rPr>
        <w:t>州</w:t>
      </w:r>
      <w:r>
        <w:rPr>
          <w:rFonts w:hint="eastAsia" w:ascii="仿宋_GB2312" w:hAnsi="仿宋_GB2312" w:eastAsia="仿宋_GB2312" w:cs="仿宋_GB2312"/>
          <w:kern w:val="0"/>
          <w:sz w:val="32"/>
          <w:szCs w:val="40"/>
        </w:rPr>
        <w:t>级医疗保障行政部门负责建立医保药品“双通道”管理机制，确定和调整“双通道”管理药品</w:t>
      </w:r>
      <w:r>
        <w:rPr>
          <w:rFonts w:hint="eastAsia" w:ascii="仿宋_GB2312" w:hAnsi="仿宋_GB2312" w:eastAsia="仿宋_GB2312" w:cs="仿宋_GB2312"/>
          <w:kern w:val="0"/>
          <w:sz w:val="32"/>
          <w:szCs w:val="40"/>
          <w:lang w:eastAsia="zh-CN"/>
        </w:rPr>
        <w:t>范围</w:t>
      </w:r>
      <w:r>
        <w:rPr>
          <w:rFonts w:hint="eastAsia" w:ascii="仿宋_GB2312" w:hAnsi="仿宋_GB2312" w:eastAsia="仿宋_GB2312" w:cs="仿宋_GB2312"/>
          <w:kern w:val="0"/>
          <w:sz w:val="32"/>
          <w:szCs w:val="40"/>
        </w:rPr>
        <w:t>、待遇标准和支付办法。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pacing w:val="-6"/>
          <w:kern w:val="0"/>
          <w:sz w:val="32"/>
          <w:szCs w:val="40"/>
        </w:rPr>
      </w:pPr>
      <w:r>
        <w:rPr>
          <w:rFonts w:hint="eastAsia" w:ascii="仿宋_GB2312" w:hAnsi="仿宋_GB2312" w:eastAsia="仿宋_GB2312" w:cs="仿宋_GB2312"/>
          <w:kern w:val="0"/>
          <w:sz w:val="32"/>
          <w:szCs w:val="40"/>
        </w:rPr>
        <w:t>县</w:t>
      </w:r>
      <w:r>
        <w:rPr>
          <w:rFonts w:hint="eastAsia" w:ascii="仿宋_GB2312" w:hAnsi="仿宋_GB2312" w:eastAsia="仿宋_GB2312" w:cs="仿宋_GB2312"/>
          <w:kern w:val="0"/>
          <w:sz w:val="32"/>
          <w:szCs w:val="40"/>
          <w:lang w:eastAsia="zh-CN"/>
        </w:rPr>
        <w:t>市</w:t>
      </w:r>
      <w:r>
        <w:rPr>
          <w:rFonts w:hint="eastAsia" w:ascii="仿宋_GB2312" w:hAnsi="仿宋_GB2312" w:eastAsia="仿宋_GB2312" w:cs="仿宋_GB2312"/>
          <w:kern w:val="0"/>
          <w:sz w:val="32"/>
          <w:szCs w:val="40"/>
        </w:rPr>
        <w:t>级</w:t>
      </w:r>
      <w:r>
        <w:rPr>
          <w:rFonts w:hint="eastAsia" w:ascii="仿宋_GB2312" w:hAnsi="仿宋_GB2312" w:eastAsia="仿宋_GB2312" w:cs="仿宋_GB2312"/>
          <w:spacing w:val="-6"/>
          <w:kern w:val="0"/>
          <w:sz w:val="32"/>
          <w:szCs w:val="40"/>
        </w:rPr>
        <w:t>医疗保障行政部门负责“双通道”管理药品相关政策的实施</w:t>
      </w:r>
      <w:r>
        <w:rPr>
          <w:rFonts w:hint="eastAsia" w:ascii="仿宋_GB2312" w:hAnsi="仿宋_GB2312" w:eastAsia="仿宋_GB2312" w:cs="仿宋_GB2312"/>
          <w:spacing w:val="-6"/>
          <w:kern w:val="0"/>
          <w:sz w:val="32"/>
          <w:szCs w:val="40"/>
          <w:lang w:eastAsia="zh-CN"/>
        </w:rPr>
        <w:t>，</w:t>
      </w:r>
      <w:r>
        <w:rPr>
          <w:rFonts w:hint="eastAsia" w:ascii="仿宋_GB2312" w:hAnsi="仿宋_GB2312" w:eastAsia="仿宋_GB2312" w:cs="仿宋_GB2312"/>
          <w:spacing w:val="-6"/>
          <w:kern w:val="0"/>
          <w:sz w:val="32"/>
          <w:szCs w:val="40"/>
        </w:rPr>
        <w:t>并对定点医药机构“双通道”管理药品的使用行为进行监管。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仿宋_GB2312" w:hAnsi="仿宋_GB2312" w:eastAsia="仿宋_GB2312" w:cs="仿宋_GB2312"/>
          <w:kern w:val="0"/>
          <w:sz w:val="32"/>
          <w:szCs w:val="40"/>
        </w:rPr>
        <w:t>各级医疗保障经办机构</w:t>
      </w:r>
      <w:r>
        <w:rPr>
          <w:rFonts w:hint="eastAsia" w:ascii="仿宋_GB2312" w:hAnsi="仿宋_GB2312" w:eastAsia="仿宋_GB2312" w:cs="仿宋_GB2312"/>
          <w:kern w:val="0"/>
          <w:sz w:val="32"/>
          <w:szCs w:val="40"/>
          <w:lang w:eastAsia="zh-CN"/>
        </w:rPr>
        <w:t>按属地管理的原则</w:t>
      </w:r>
      <w:r>
        <w:rPr>
          <w:rFonts w:hint="eastAsia" w:ascii="仿宋_GB2312" w:hAnsi="仿宋_GB2312" w:eastAsia="仿宋_GB2312" w:cs="仿宋_GB2312"/>
          <w:kern w:val="0"/>
          <w:sz w:val="32"/>
          <w:szCs w:val="40"/>
        </w:rPr>
        <w:t>负责遴选“双通道”定点医药机构</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及时</w:t>
      </w:r>
      <w:r>
        <w:rPr>
          <w:rFonts w:hint="eastAsia" w:ascii="仿宋_GB2312" w:hAnsi="仿宋_GB2312" w:eastAsia="仿宋_GB2312" w:cs="仿宋_GB2312"/>
          <w:kern w:val="0"/>
          <w:sz w:val="32"/>
          <w:szCs w:val="40"/>
          <w:lang w:eastAsia="zh-CN"/>
        </w:rPr>
        <w:t>审核、</w:t>
      </w:r>
      <w:r>
        <w:rPr>
          <w:rFonts w:hint="eastAsia" w:ascii="仿宋_GB2312" w:hAnsi="仿宋_GB2312" w:eastAsia="仿宋_GB2312" w:cs="仿宋_GB2312"/>
          <w:kern w:val="0"/>
          <w:sz w:val="32"/>
          <w:szCs w:val="40"/>
        </w:rPr>
        <w:t>结算和支付“双通道”管理药品费用</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并承担相关的统计监测、信息报送等工作。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pacing w:val="-6"/>
          <w:kern w:val="0"/>
          <w:sz w:val="32"/>
          <w:szCs w:val="40"/>
        </w:rPr>
      </w:pPr>
      <w:r>
        <w:rPr>
          <w:rFonts w:hint="eastAsia" w:ascii="黑体" w:hAnsi="黑体" w:eastAsia="黑体" w:cs="黑体"/>
          <w:kern w:val="0"/>
          <w:sz w:val="32"/>
          <w:szCs w:val="40"/>
          <w:lang w:eastAsia="zh-CN"/>
        </w:rPr>
        <w:t xml:space="preserve">第八条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rPr>
        <w:t>卫生健康部门负责指导各定点医疗机构根据功能定位、临床需</w:t>
      </w:r>
      <w:r>
        <w:rPr>
          <w:rFonts w:hint="eastAsia" w:ascii="仿宋_GB2312" w:hAnsi="仿宋_GB2312" w:eastAsia="仿宋_GB2312" w:cs="仿宋_GB2312"/>
          <w:spacing w:val="-6"/>
          <w:kern w:val="0"/>
          <w:sz w:val="32"/>
          <w:szCs w:val="40"/>
        </w:rPr>
        <w:t>求和诊疗能力等及时配备、合理使用“双通道”药品</w:t>
      </w:r>
      <w:r>
        <w:rPr>
          <w:rFonts w:hint="eastAsia" w:ascii="仿宋_GB2312" w:hAnsi="仿宋_GB2312" w:eastAsia="仿宋_GB2312" w:cs="仿宋_GB2312"/>
          <w:spacing w:val="-6"/>
          <w:kern w:val="0"/>
          <w:sz w:val="32"/>
          <w:szCs w:val="40"/>
          <w:lang w:eastAsia="zh-CN"/>
        </w:rPr>
        <w:t>，加强对定点医疗机构临床用药行为及处方的指导和监督管理，</w:t>
      </w:r>
      <w:r>
        <w:rPr>
          <w:rFonts w:hint="eastAsia" w:ascii="仿宋_GB2312" w:hAnsi="仿宋_GB2312" w:eastAsia="仿宋_GB2312" w:cs="仿宋_GB2312"/>
          <w:spacing w:val="-6"/>
          <w:kern w:val="0"/>
          <w:sz w:val="32"/>
          <w:szCs w:val="40"/>
        </w:rPr>
        <w:t>督促各定点医疗机构根据“双通道”药品目录调入、调出药品情况</w:t>
      </w:r>
      <w:r>
        <w:rPr>
          <w:rFonts w:hint="eastAsia" w:ascii="仿宋_GB2312" w:hAnsi="仿宋_GB2312" w:eastAsia="仿宋_GB2312" w:cs="仿宋_GB2312"/>
          <w:spacing w:val="-6"/>
          <w:kern w:val="0"/>
          <w:sz w:val="32"/>
          <w:szCs w:val="40"/>
          <w:lang w:eastAsia="zh-CN"/>
        </w:rPr>
        <w:t>，</w:t>
      </w:r>
      <w:r>
        <w:rPr>
          <w:rFonts w:hint="eastAsia" w:ascii="仿宋_GB2312" w:hAnsi="仿宋_GB2312" w:eastAsia="仿宋_GB2312" w:cs="仿宋_GB2312"/>
          <w:spacing w:val="-6"/>
          <w:kern w:val="0"/>
          <w:sz w:val="32"/>
          <w:szCs w:val="40"/>
        </w:rPr>
        <w:t>及时召开药事管理会议</w:t>
      </w:r>
      <w:r>
        <w:rPr>
          <w:rFonts w:hint="eastAsia" w:ascii="仿宋_GB2312" w:hAnsi="仿宋_GB2312" w:eastAsia="仿宋_GB2312" w:cs="仿宋_GB2312"/>
          <w:spacing w:val="-6"/>
          <w:kern w:val="0"/>
          <w:sz w:val="32"/>
          <w:szCs w:val="40"/>
          <w:lang w:eastAsia="zh-CN"/>
        </w:rPr>
        <w:t>，</w:t>
      </w:r>
      <w:r>
        <w:rPr>
          <w:rFonts w:hint="eastAsia" w:ascii="仿宋_GB2312" w:hAnsi="仿宋_GB2312" w:eastAsia="仿宋_GB2312" w:cs="仿宋_GB2312"/>
          <w:spacing w:val="-6"/>
          <w:kern w:val="0"/>
          <w:sz w:val="32"/>
          <w:szCs w:val="40"/>
        </w:rPr>
        <w:t>对本医疗机构用药目录进行调整和优化。</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eastAsia="zh-CN"/>
        </w:rPr>
      </w:pPr>
      <w:r>
        <w:rPr>
          <w:rFonts w:hint="eastAsia" w:ascii="仿宋_GB2312" w:hAnsi="仿宋_GB2312" w:eastAsia="仿宋_GB2312" w:cs="仿宋_GB2312"/>
          <w:kern w:val="0"/>
          <w:sz w:val="32"/>
          <w:szCs w:val="40"/>
          <w:lang w:eastAsia="zh-CN"/>
        </w:rPr>
        <w:t>市场监督管理部门负责加强药品质量监管，建立药品追溯监管机制。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kern w:val="0"/>
          <w:sz w:val="32"/>
          <w:szCs w:val="40"/>
          <w:lang w:val="en-US" w:eastAsia="zh-CN"/>
        </w:rPr>
      </w:pPr>
      <w:r>
        <w:rPr>
          <w:rFonts w:hint="eastAsia" w:ascii="黑体" w:hAnsi="黑体" w:eastAsia="黑体" w:cs="黑体"/>
          <w:kern w:val="0"/>
          <w:sz w:val="32"/>
          <w:szCs w:val="40"/>
          <w:lang w:eastAsia="zh-CN"/>
        </w:rPr>
        <w:t>第二章</w:t>
      </w:r>
      <w:r>
        <w:rPr>
          <w:rFonts w:hint="eastAsia" w:ascii="黑体" w:hAnsi="黑体" w:eastAsia="黑体" w:cs="黑体"/>
          <w:kern w:val="0"/>
          <w:sz w:val="32"/>
          <w:szCs w:val="40"/>
          <w:lang w:val="en-US" w:eastAsia="zh-CN"/>
        </w:rPr>
        <w:t xml:space="preserve">  待遇和医保支付政策</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pacing w:val="-6"/>
          <w:kern w:val="0"/>
          <w:sz w:val="32"/>
          <w:szCs w:val="40"/>
          <w:lang w:val="en-US" w:eastAsia="zh-CN"/>
        </w:rPr>
      </w:pPr>
      <w:r>
        <w:rPr>
          <w:rFonts w:hint="eastAsia" w:ascii="黑体" w:hAnsi="黑体" w:eastAsia="黑体" w:cs="黑体"/>
          <w:kern w:val="0"/>
          <w:sz w:val="32"/>
          <w:szCs w:val="40"/>
          <w:lang w:eastAsia="zh-CN"/>
        </w:rPr>
        <w:t>第九条</w:t>
      </w:r>
      <w:r>
        <w:rPr>
          <w:rFonts w:hint="eastAsia" w:ascii="黑体" w:hAnsi="黑体" w:eastAsia="黑体" w:cs="黑体"/>
          <w:kern w:val="0"/>
          <w:sz w:val="32"/>
          <w:szCs w:val="40"/>
          <w:lang w:val="en-US" w:eastAsia="zh-CN"/>
        </w:rPr>
        <w:t xml:space="preserve"> </w:t>
      </w:r>
      <w:r>
        <w:rPr>
          <w:rFonts w:hint="eastAsia" w:ascii="仿宋_GB2312" w:hAnsi="仿宋_GB2312" w:eastAsia="仿宋_GB2312" w:cs="仿宋_GB2312"/>
          <w:kern w:val="0"/>
          <w:sz w:val="32"/>
          <w:szCs w:val="40"/>
          <w:lang w:val="en-US" w:eastAsia="zh-CN"/>
        </w:rPr>
        <w:t xml:space="preserve"> 参加楚雄州职工基本医疗保险或城乡居民基本医疗保险的患者凭定点医疗</w:t>
      </w:r>
      <w:r>
        <w:rPr>
          <w:rFonts w:hint="eastAsia" w:ascii="仿宋_GB2312" w:hAnsi="仿宋_GB2312" w:eastAsia="仿宋_GB2312" w:cs="仿宋_GB2312"/>
          <w:spacing w:val="-6"/>
          <w:kern w:val="0"/>
          <w:sz w:val="32"/>
          <w:szCs w:val="40"/>
          <w:lang w:val="en-US" w:eastAsia="zh-CN"/>
        </w:rPr>
        <w:t>机构（定点“互联网”医疗机构）处方在“双通道”药店购买药品，执行与开具处方的医疗机构就医相同的医保待遇政策，门诊期间在药店购买的“双通道”药品，按照我州特殊病、慢性病和协议期内国家谈判药品门诊待遇保障政策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val="en-US" w:eastAsia="zh-CN"/>
        </w:rPr>
      </w:pPr>
      <w:r>
        <w:rPr>
          <w:rFonts w:hint="eastAsia" w:ascii="黑体" w:hAnsi="黑体" w:eastAsia="黑体" w:cs="黑体"/>
          <w:kern w:val="0"/>
          <w:sz w:val="32"/>
          <w:szCs w:val="40"/>
          <w:lang w:val="en-US" w:eastAsia="zh-CN"/>
        </w:rPr>
        <w:t xml:space="preserve">第十条 </w:t>
      </w:r>
      <w:r>
        <w:rPr>
          <w:rFonts w:hint="eastAsia" w:ascii="仿宋_GB2312" w:hAnsi="仿宋_GB2312" w:eastAsia="仿宋_GB2312" w:cs="仿宋_GB2312"/>
          <w:kern w:val="0"/>
          <w:sz w:val="32"/>
          <w:szCs w:val="40"/>
          <w:lang w:val="en-US" w:eastAsia="zh-CN"/>
        </w:rPr>
        <w:t xml:space="preserve"> “双通道”药品医疗保险支付标准（以下简称支付标准）指纳入医疗保险支付范围的费用，包括医疗保险基金和参保人共同支付的部分。定点医疗机构与“双通道”药店执行统一的医保支付标准和价格政策。协议期内谈判药品执行国家统一的支付标准，协议期谈判仿制药以云南省药品采购平台的挂网价格作为医保支付标准，低于支付标准的以实际采购价格支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val="en-US" w:eastAsia="zh-CN"/>
        </w:rPr>
      </w:pPr>
      <w:r>
        <w:rPr>
          <w:rFonts w:hint="eastAsia" w:ascii="仿宋_GB2312" w:hAnsi="仿宋_GB2312" w:eastAsia="仿宋_GB2312" w:cs="仿宋_GB2312"/>
          <w:kern w:val="0"/>
          <w:sz w:val="32"/>
          <w:szCs w:val="40"/>
          <w:lang w:val="en-US" w:eastAsia="zh-CN"/>
        </w:rPr>
        <w:t>探索逐步将门诊特殊病、慢性病患者使用的其他用药纳入“双通道”管理。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黑体" w:hAnsi="黑体" w:eastAsia="黑体" w:cs="黑体"/>
          <w:kern w:val="0"/>
          <w:sz w:val="32"/>
          <w:szCs w:val="40"/>
          <w:lang w:val="en-US" w:eastAsia="zh-CN"/>
        </w:rPr>
        <w:t xml:space="preserve">第十一条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rPr>
        <w:t>“双通道”管理药品不单独设立限定支付范围</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严格按照国家</w:t>
      </w:r>
      <w:r>
        <w:rPr>
          <w:rFonts w:hint="eastAsia" w:ascii="仿宋_GB2312" w:hAnsi="仿宋_GB2312" w:eastAsia="仿宋_GB2312" w:cs="仿宋_GB2312"/>
          <w:kern w:val="0"/>
          <w:sz w:val="32"/>
          <w:szCs w:val="40"/>
          <w:lang w:eastAsia="zh-CN"/>
        </w:rPr>
        <w:t>、省</w:t>
      </w:r>
      <w:r>
        <w:rPr>
          <w:rFonts w:hint="eastAsia" w:ascii="仿宋_GB2312" w:hAnsi="仿宋_GB2312" w:eastAsia="仿宋_GB2312" w:cs="仿宋_GB2312"/>
          <w:kern w:val="0"/>
          <w:sz w:val="32"/>
          <w:szCs w:val="40"/>
        </w:rPr>
        <w:t>现行医保药品目录规定的限定支付范围执行。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eastAsia="zh-CN"/>
        </w:rPr>
      </w:pPr>
      <w:r>
        <w:rPr>
          <w:rFonts w:hint="eastAsia" w:ascii="黑体" w:hAnsi="黑体" w:eastAsia="黑体" w:cs="黑体"/>
          <w:kern w:val="0"/>
          <w:sz w:val="32"/>
          <w:szCs w:val="40"/>
          <w:lang w:val="en-US" w:eastAsia="zh-CN"/>
        </w:rPr>
        <w:t xml:space="preserve">第十二条 </w:t>
      </w:r>
      <w:r>
        <w:rPr>
          <w:rFonts w:hint="eastAsia" w:ascii="仿宋_GB2312" w:hAnsi="仿宋_GB2312" w:eastAsia="仿宋_GB2312" w:cs="仿宋_GB2312"/>
          <w:kern w:val="0"/>
          <w:sz w:val="32"/>
          <w:szCs w:val="40"/>
          <w:lang w:val="en-US" w:eastAsia="zh-CN"/>
        </w:rPr>
        <w:t xml:space="preserve"> 各</w:t>
      </w:r>
      <w:r>
        <w:rPr>
          <w:rFonts w:hint="eastAsia" w:ascii="仿宋_GB2312" w:hAnsi="仿宋_GB2312" w:eastAsia="仿宋_GB2312" w:cs="仿宋_GB2312"/>
          <w:kern w:val="0"/>
          <w:sz w:val="32"/>
          <w:szCs w:val="40"/>
          <w:lang w:eastAsia="zh-CN"/>
        </w:rPr>
        <w:t>级</w:t>
      </w:r>
      <w:r>
        <w:rPr>
          <w:rFonts w:hint="eastAsia" w:ascii="仿宋_GB2312" w:hAnsi="仿宋_GB2312" w:eastAsia="仿宋_GB2312" w:cs="仿宋_GB2312"/>
          <w:kern w:val="0"/>
          <w:sz w:val="32"/>
          <w:szCs w:val="40"/>
        </w:rPr>
        <w:t>医保经办机构按</w:t>
      </w:r>
      <w:r>
        <w:rPr>
          <w:rFonts w:hint="eastAsia" w:ascii="仿宋_GB2312" w:hAnsi="仿宋_GB2312" w:eastAsia="仿宋_GB2312" w:cs="仿宋_GB2312"/>
          <w:kern w:val="0"/>
          <w:sz w:val="32"/>
          <w:szCs w:val="40"/>
          <w:lang w:eastAsia="zh-CN"/>
        </w:rPr>
        <w:t>云南省</w:t>
      </w:r>
      <w:r>
        <w:rPr>
          <w:rFonts w:hint="eastAsia" w:ascii="仿宋_GB2312" w:hAnsi="仿宋_GB2312" w:eastAsia="仿宋_GB2312" w:cs="仿宋_GB2312"/>
          <w:kern w:val="0"/>
          <w:sz w:val="32"/>
          <w:szCs w:val="40"/>
        </w:rPr>
        <w:t>医疗保障部门确定的医保支付标准进行结算</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超出医保支付标准的“双通道”管理药品费用医疗保险</w:t>
      </w:r>
      <w:r>
        <w:rPr>
          <w:rFonts w:hint="eastAsia" w:ascii="仿宋_GB2312" w:hAnsi="仿宋_GB2312" w:eastAsia="仿宋_GB2312" w:cs="仿宋_GB2312"/>
          <w:kern w:val="0"/>
          <w:sz w:val="32"/>
          <w:szCs w:val="40"/>
          <w:lang w:eastAsia="zh-CN"/>
        </w:rPr>
        <w:t>统筹</w:t>
      </w:r>
      <w:r>
        <w:rPr>
          <w:rFonts w:hint="eastAsia" w:ascii="仿宋_GB2312" w:hAnsi="仿宋_GB2312" w:eastAsia="仿宋_GB2312" w:cs="仿宋_GB2312"/>
          <w:kern w:val="0"/>
          <w:sz w:val="32"/>
          <w:szCs w:val="40"/>
        </w:rPr>
        <w:t>基金不予支付。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kern w:val="0"/>
          <w:sz w:val="32"/>
          <w:szCs w:val="40"/>
          <w:lang w:val="en-US" w:eastAsia="zh-CN"/>
        </w:rPr>
      </w:pPr>
      <w:r>
        <w:rPr>
          <w:rFonts w:hint="eastAsia" w:ascii="黑体" w:hAnsi="黑体" w:eastAsia="黑体" w:cs="黑体"/>
          <w:kern w:val="0"/>
          <w:sz w:val="32"/>
          <w:szCs w:val="40"/>
          <w:lang w:val="en-US" w:eastAsia="zh-CN"/>
        </w:rPr>
        <w:t>第三章  遴选“双通道”医药机构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val="en-US" w:eastAsia="zh-CN"/>
        </w:rPr>
      </w:pPr>
      <w:r>
        <w:rPr>
          <w:rFonts w:hint="eastAsia" w:ascii="黑体" w:hAnsi="黑体" w:eastAsia="黑体" w:cs="黑体"/>
          <w:kern w:val="0"/>
          <w:sz w:val="32"/>
          <w:szCs w:val="40"/>
          <w:lang w:val="en-US" w:eastAsia="zh-CN"/>
        </w:rPr>
        <w:t xml:space="preserve">第十三条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rPr>
        <w:t>各级医疗保障部门要按照便民、利民的原则</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科学布局</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统筹</w:t>
      </w:r>
      <w:r>
        <w:rPr>
          <w:rFonts w:hint="eastAsia" w:ascii="仿宋_GB2312" w:hAnsi="仿宋_GB2312" w:eastAsia="仿宋_GB2312" w:cs="仿宋_GB2312"/>
          <w:kern w:val="0"/>
          <w:sz w:val="32"/>
          <w:szCs w:val="40"/>
          <w:lang w:eastAsia="zh-CN"/>
        </w:rPr>
        <w:t>区域内的定点医药机构，</w:t>
      </w:r>
      <w:r>
        <w:rPr>
          <w:rFonts w:hint="eastAsia" w:ascii="仿宋_GB2312" w:hAnsi="仿宋_GB2312" w:eastAsia="仿宋_GB2312" w:cs="仿宋_GB2312"/>
          <w:kern w:val="0"/>
          <w:sz w:val="32"/>
          <w:szCs w:val="40"/>
        </w:rPr>
        <w:t>满足</w:t>
      </w:r>
      <w:r>
        <w:rPr>
          <w:rFonts w:hint="eastAsia" w:ascii="仿宋_GB2312" w:hAnsi="仿宋_GB2312" w:eastAsia="仿宋_GB2312" w:cs="仿宋_GB2312"/>
          <w:kern w:val="0"/>
          <w:sz w:val="32"/>
          <w:szCs w:val="40"/>
          <w:lang w:eastAsia="zh-CN"/>
        </w:rPr>
        <w:t>群众</w:t>
      </w:r>
      <w:r>
        <w:rPr>
          <w:rFonts w:hint="eastAsia" w:ascii="仿宋_GB2312" w:hAnsi="仿宋_GB2312" w:eastAsia="仿宋_GB2312" w:cs="仿宋_GB2312"/>
          <w:kern w:val="0"/>
          <w:sz w:val="32"/>
          <w:szCs w:val="40"/>
        </w:rPr>
        <w:t>需要。</w:t>
      </w:r>
      <w:r>
        <w:rPr>
          <w:rFonts w:hint="eastAsia" w:ascii="仿宋_GB2312" w:hAnsi="仿宋_GB2312" w:eastAsia="仿宋_GB2312" w:cs="仿宋_GB2312"/>
          <w:kern w:val="0"/>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仿宋_GB2312" w:hAnsi="仿宋_GB2312" w:eastAsia="仿宋_GB2312" w:cs="仿宋_GB2312"/>
          <w:kern w:val="0"/>
          <w:sz w:val="32"/>
          <w:szCs w:val="40"/>
        </w:rPr>
        <w:t>对有意愿、有资质、有能力的</w:t>
      </w:r>
      <w:r>
        <w:rPr>
          <w:rFonts w:hint="eastAsia" w:ascii="仿宋_GB2312" w:hAnsi="仿宋_GB2312" w:eastAsia="仿宋_GB2312" w:cs="仿宋_GB2312"/>
          <w:kern w:val="0"/>
          <w:sz w:val="32"/>
          <w:szCs w:val="40"/>
          <w:lang w:eastAsia="zh-CN"/>
        </w:rPr>
        <w:t>楚雄州</w:t>
      </w:r>
      <w:r>
        <w:rPr>
          <w:rFonts w:hint="eastAsia" w:ascii="仿宋_GB2312" w:hAnsi="仿宋_GB2312" w:eastAsia="仿宋_GB2312" w:cs="仿宋_GB2312"/>
          <w:kern w:val="0"/>
          <w:sz w:val="32"/>
          <w:szCs w:val="40"/>
        </w:rPr>
        <w:t>二级及以上医保定点医疗机构</w:t>
      </w:r>
      <w:r>
        <w:rPr>
          <w:rFonts w:hint="eastAsia" w:ascii="仿宋_GB2312" w:hAnsi="仿宋_GB2312" w:eastAsia="仿宋_GB2312" w:cs="仿宋_GB2312"/>
          <w:kern w:val="0"/>
          <w:sz w:val="32"/>
          <w:szCs w:val="40"/>
          <w:lang w:eastAsia="zh-CN"/>
        </w:rPr>
        <w:t>（含“互联网”医疗机构），</w:t>
      </w:r>
      <w:r>
        <w:rPr>
          <w:rFonts w:hint="eastAsia" w:ascii="仿宋_GB2312" w:hAnsi="仿宋_GB2312" w:eastAsia="仿宋_GB2312" w:cs="仿宋_GB2312"/>
          <w:kern w:val="0"/>
          <w:sz w:val="32"/>
          <w:szCs w:val="40"/>
        </w:rPr>
        <w:t>从药品实际配售量、配售金额、品种数以及服务人数等多方面综合评估</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符合要求的可纳入“双通道”定点医</w:t>
      </w:r>
      <w:r>
        <w:rPr>
          <w:rFonts w:hint="eastAsia" w:ascii="仿宋_GB2312" w:hAnsi="仿宋_GB2312" w:eastAsia="仿宋_GB2312" w:cs="仿宋_GB2312"/>
          <w:kern w:val="0"/>
          <w:sz w:val="32"/>
          <w:szCs w:val="40"/>
          <w:lang w:eastAsia="zh-CN"/>
        </w:rPr>
        <w:t>疗</w:t>
      </w:r>
      <w:r>
        <w:rPr>
          <w:rFonts w:hint="eastAsia" w:ascii="仿宋_GB2312" w:hAnsi="仿宋_GB2312" w:eastAsia="仿宋_GB2312" w:cs="仿宋_GB2312"/>
          <w:kern w:val="0"/>
          <w:sz w:val="32"/>
          <w:szCs w:val="40"/>
        </w:rPr>
        <w:t>机构。“双通道”定点医疗机构实行动态管理</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对已纳入的定点医疗机构</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在日常管理中违反服务协议规定的</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视情节严重程度</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医保部门可拒付</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追回</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不合理费用</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并</w:t>
      </w:r>
      <w:r>
        <w:rPr>
          <w:rFonts w:hint="eastAsia" w:ascii="仿宋_GB2312" w:hAnsi="仿宋_GB2312" w:eastAsia="仿宋_GB2312" w:cs="仿宋_GB2312"/>
          <w:kern w:val="0"/>
          <w:sz w:val="32"/>
          <w:szCs w:val="40"/>
          <w:lang w:eastAsia="zh-CN"/>
        </w:rPr>
        <w:t>依法</w:t>
      </w:r>
      <w:r>
        <w:rPr>
          <w:rFonts w:hint="eastAsia" w:ascii="仿宋_GB2312" w:hAnsi="仿宋_GB2312" w:eastAsia="仿宋_GB2312" w:cs="仿宋_GB2312"/>
          <w:kern w:val="0"/>
          <w:sz w:val="32"/>
          <w:szCs w:val="40"/>
        </w:rPr>
        <w:t>给予相应处罚</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暂停其结算关系</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情节严重的</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可取消其“双通道”定点医疗机构资格。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eastAsia="zh-CN"/>
        </w:rPr>
      </w:pPr>
      <w:r>
        <w:rPr>
          <w:rFonts w:hint="eastAsia" w:ascii="黑体" w:hAnsi="黑体" w:eastAsia="黑体" w:cs="黑体"/>
          <w:kern w:val="0"/>
          <w:sz w:val="32"/>
          <w:szCs w:val="40"/>
          <w:lang w:val="en-US" w:eastAsia="zh-CN"/>
        </w:rPr>
        <w:t xml:space="preserve">第十四条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rPr>
        <w:t>坚持“公开、公平、公正”的原则</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在现有医保定点药店</w:t>
      </w:r>
      <w:r>
        <w:rPr>
          <w:rFonts w:hint="eastAsia" w:ascii="仿宋_GB2312" w:hAnsi="仿宋_GB2312" w:eastAsia="仿宋_GB2312" w:cs="仿宋_GB2312"/>
          <w:kern w:val="0"/>
          <w:sz w:val="32"/>
          <w:szCs w:val="40"/>
          <w:lang w:eastAsia="zh-CN"/>
        </w:rPr>
        <w:t>中</w:t>
      </w:r>
      <w:r>
        <w:rPr>
          <w:rFonts w:hint="eastAsia" w:ascii="仿宋_GB2312" w:hAnsi="仿宋_GB2312" w:eastAsia="仿宋_GB2312" w:cs="仿宋_GB2312"/>
          <w:kern w:val="0"/>
          <w:sz w:val="32"/>
          <w:szCs w:val="40"/>
        </w:rPr>
        <w:t>优中选优</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合理确定</w:t>
      </w:r>
      <w:r>
        <w:rPr>
          <w:rFonts w:hint="eastAsia" w:ascii="仿宋_GB2312" w:hAnsi="仿宋_GB2312" w:eastAsia="仿宋_GB2312" w:cs="仿宋_GB2312"/>
          <w:kern w:val="0"/>
          <w:sz w:val="32"/>
          <w:szCs w:val="40"/>
          <w:lang w:eastAsia="zh-CN"/>
        </w:rPr>
        <w:t>辖区内</w:t>
      </w:r>
      <w:r>
        <w:rPr>
          <w:rFonts w:hint="eastAsia" w:ascii="仿宋_GB2312" w:hAnsi="仿宋_GB2312" w:eastAsia="仿宋_GB2312" w:cs="仿宋_GB2312"/>
          <w:kern w:val="0"/>
          <w:sz w:val="32"/>
          <w:szCs w:val="40"/>
        </w:rPr>
        <w:t>“双通道”定点</w:t>
      </w:r>
      <w:r>
        <w:rPr>
          <w:rFonts w:hint="eastAsia" w:ascii="仿宋_GB2312" w:hAnsi="仿宋_GB2312" w:eastAsia="仿宋_GB2312" w:cs="仿宋_GB2312"/>
          <w:kern w:val="0"/>
          <w:sz w:val="32"/>
          <w:szCs w:val="40"/>
          <w:lang w:eastAsia="zh-CN"/>
        </w:rPr>
        <w:t>零售</w:t>
      </w:r>
      <w:r>
        <w:rPr>
          <w:rFonts w:hint="eastAsia" w:ascii="仿宋_GB2312" w:hAnsi="仿宋_GB2312" w:eastAsia="仿宋_GB2312" w:cs="仿宋_GB2312"/>
          <w:kern w:val="0"/>
          <w:sz w:val="32"/>
          <w:szCs w:val="40"/>
        </w:rPr>
        <w:t>药店。“双通道”定点</w:t>
      </w:r>
      <w:r>
        <w:rPr>
          <w:rFonts w:hint="eastAsia" w:ascii="仿宋_GB2312" w:hAnsi="仿宋_GB2312" w:eastAsia="仿宋_GB2312" w:cs="仿宋_GB2312"/>
          <w:kern w:val="0"/>
          <w:sz w:val="32"/>
          <w:szCs w:val="40"/>
          <w:lang w:eastAsia="zh-CN"/>
        </w:rPr>
        <w:t>零售</w:t>
      </w:r>
      <w:r>
        <w:rPr>
          <w:rFonts w:hint="eastAsia" w:ascii="仿宋_GB2312" w:hAnsi="仿宋_GB2312" w:eastAsia="仿宋_GB2312" w:cs="仿宋_GB2312"/>
          <w:kern w:val="0"/>
          <w:sz w:val="32"/>
          <w:szCs w:val="40"/>
        </w:rPr>
        <w:t>药店应同时具备以下基本条件</w:t>
      </w:r>
      <w:r>
        <w:rPr>
          <w:rFonts w:hint="eastAsia" w:ascii="仿宋_GB2312" w:hAnsi="仿宋_GB2312" w:eastAsia="仿宋_GB2312" w:cs="仿宋_GB2312"/>
          <w:kern w:val="0"/>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eastAsia="zh-CN"/>
        </w:rPr>
      </w:pPr>
      <w:r>
        <w:rPr>
          <w:rFonts w:hint="eastAsia" w:ascii="仿宋_GB2312" w:hAnsi="仿宋_GB2312" w:eastAsia="仿宋_GB2312" w:cs="仿宋_GB2312"/>
          <w:kern w:val="0"/>
          <w:sz w:val="32"/>
          <w:szCs w:val="40"/>
          <w:lang w:eastAsia="zh-CN"/>
        </w:rPr>
        <w:t>（一）“双通道”药店配备国家医保谈判药品品种不得低于30%，“双通道”药店执业药师要对医保支付的处方进行审核；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eastAsia="zh-CN"/>
        </w:rPr>
      </w:pPr>
      <w:r>
        <w:rPr>
          <w:rFonts w:hint="eastAsia" w:ascii="仿宋_GB2312" w:hAnsi="仿宋_GB2312" w:eastAsia="仿宋_GB2312" w:cs="仿宋_GB2312"/>
          <w:kern w:val="0"/>
          <w:sz w:val="32"/>
          <w:szCs w:val="40"/>
          <w:lang w:eastAsia="zh-CN"/>
        </w:rPr>
        <w:t>（二）销售“双通道”药品必须具备云南省药品招标采购平台挂网价格，以实际采购价格作为销售价格，且不得高于平台挂网价格；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eastAsia="zh-CN"/>
        </w:rPr>
      </w:pPr>
      <w:r>
        <w:rPr>
          <w:rFonts w:hint="eastAsia" w:ascii="仿宋_GB2312" w:hAnsi="仿宋_GB2312" w:eastAsia="仿宋_GB2312" w:cs="仿宋_GB2312"/>
          <w:kern w:val="0"/>
          <w:sz w:val="32"/>
          <w:szCs w:val="40"/>
          <w:lang w:eastAsia="zh-CN"/>
        </w:rPr>
        <w:t>（三）有健全的</w:t>
      </w:r>
      <w:r>
        <w:rPr>
          <w:rFonts w:hint="eastAsia" w:ascii="仿宋_GB2312" w:hAnsi="仿宋_GB2312" w:eastAsia="仿宋_GB2312" w:cs="仿宋_GB2312"/>
          <w:kern w:val="0"/>
          <w:sz w:val="32"/>
          <w:szCs w:val="40"/>
        </w:rPr>
        <w:t>信息系统</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配备与经营服务相适应的计算机和网络系统</w:t>
      </w:r>
      <w:r>
        <w:rPr>
          <w:rFonts w:hint="eastAsia" w:ascii="仿宋_GB2312" w:hAnsi="仿宋_GB2312" w:eastAsia="仿宋_GB2312" w:cs="仿宋_GB2312"/>
          <w:kern w:val="0"/>
          <w:sz w:val="32"/>
          <w:szCs w:val="40"/>
          <w:lang w:eastAsia="zh-CN"/>
        </w:rPr>
        <w:t>，满足患者与药店</w:t>
      </w:r>
      <w:r>
        <w:rPr>
          <w:rFonts w:hint="eastAsia" w:ascii="仿宋_GB2312" w:hAnsi="仿宋_GB2312" w:eastAsia="仿宋_GB2312" w:cs="仿宋_GB2312"/>
          <w:kern w:val="0"/>
          <w:sz w:val="32"/>
          <w:szCs w:val="40"/>
          <w:lang w:val="en-US" w:eastAsia="zh-CN"/>
        </w:rPr>
        <w:t>直接结算条件，</w:t>
      </w:r>
      <w:r>
        <w:rPr>
          <w:rFonts w:hint="eastAsia" w:ascii="仿宋_GB2312" w:hAnsi="仿宋_GB2312" w:eastAsia="仿宋_GB2312" w:cs="仿宋_GB2312"/>
          <w:kern w:val="0"/>
          <w:sz w:val="32"/>
          <w:szCs w:val="40"/>
          <w:lang w:eastAsia="zh-CN"/>
        </w:rPr>
        <w:t>能够</w:t>
      </w:r>
      <w:r>
        <w:rPr>
          <w:rFonts w:hint="eastAsia" w:ascii="仿宋_GB2312" w:hAnsi="仿宋_GB2312" w:eastAsia="仿宋_GB2312" w:cs="仿宋_GB2312"/>
          <w:kern w:val="0"/>
          <w:sz w:val="32"/>
          <w:szCs w:val="40"/>
        </w:rPr>
        <w:t>与医保信息平台、电子处方流转平台等对接，确保药品、医保支付等方面信息全面、准确、及时沟通</w:t>
      </w:r>
      <w:r>
        <w:rPr>
          <w:rFonts w:hint="eastAsia" w:ascii="仿宋_GB2312" w:hAnsi="仿宋_GB2312" w:eastAsia="仿宋_GB2312" w:cs="仿宋_GB2312"/>
          <w:kern w:val="0"/>
          <w:sz w:val="32"/>
          <w:szCs w:val="40"/>
          <w:lang w:eastAsia="zh-CN"/>
        </w:rPr>
        <w:t>。按照国家有关规定使用药品电子追溯码，且能通过扫码的方式实时将进、销、存数据上传至云南省医保信息平台，并按照药品监督管理部门药品追溯工作要求，建立完善药品追溯工作机制；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eastAsia="zh-CN"/>
        </w:rPr>
      </w:pPr>
      <w:r>
        <w:rPr>
          <w:rFonts w:hint="eastAsia" w:ascii="仿宋_GB2312" w:hAnsi="仿宋_GB2312" w:eastAsia="仿宋_GB2312" w:cs="仿宋_GB2312"/>
          <w:kern w:val="0"/>
          <w:sz w:val="32"/>
          <w:szCs w:val="40"/>
          <w:lang w:eastAsia="zh-CN"/>
        </w:rPr>
        <w:t>（四）“双通道”药店应严格按药品分类管理的要求销售药品，不得以任何形式变相向患者推销其他药品、医疗器械、保健品、食品、消毒产品、化妆品等，切实保障患者权益和用药安全。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eastAsia="zh-CN"/>
        </w:rPr>
      </w:pPr>
      <w:r>
        <w:rPr>
          <w:rFonts w:hint="eastAsia" w:ascii="黑体" w:hAnsi="黑体" w:eastAsia="黑体" w:cs="黑体"/>
          <w:kern w:val="0"/>
          <w:sz w:val="32"/>
          <w:szCs w:val="40"/>
          <w:lang w:val="en-US" w:eastAsia="zh-CN"/>
        </w:rPr>
        <w:t xml:space="preserve">第十五条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rPr>
        <w:t>符合条件的定点零售药店</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可向</w:t>
      </w:r>
      <w:r>
        <w:rPr>
          <w:rFonts w:hint="eastAsia" w:ascii="仿宋_GB2312" w:hAnsi="仿宋_GB2312" w:eastAsia="仿宋_GB2312" w:cs="仿宋_GB2312"/>
          <w:kern w:val="0"/>
          <w:sz w:val="32"/>
          <w:szCs w:val="40"/>
          <w:lang w:eastAsia="zh-CN"/>
        </w:rPr>
        <w:t>当地</w:t>
      </w:r>
      <w:r>
        <w:rPr>
          <w:rFonts w:hint="eastAsia" w:ascii="仿宋_GB2312" w:hAnsi="仿宋_GB2312" w:eastAsia="仿宋_GB2312" w:cs="仿宋_GB2312"/>
          <w:kern w:val="0"/>
          <w:sz w:val="32"/>
          <w:szCs w:val="40"/>
        </w:rPr>
        <w:t>医保经办机构申请成为“双通道”定点药店。医保经办机构按照评估认定、结果公示及协议签订等程序</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将符合条件的定点零售药店纳入 “双通道”管理</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悬挂“双通道”医保标识</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并及时向社会公布</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对符合条件的医保特</w:t>
      </w:r>
      <w:r>
        <w:rPr>
          <w:rFonts w:hint="eastAsia" w:ascii="仿宋_GB2312" w:hAnsi="仿宋_GB2312" w:eastAsia="仿宋_GB2312" w:cs="仿宋_GB2312"/>
          <w:kern w:val="0"/>
          <w:sz w:val="32"/>
          <w:szCs w:val="40"/>
          <w:lang w:eastAsia="zh-CN"/>
        </w:rPr>
        <w:t>慢病定点</w:t>
      </w:r>
      <w:r>
        <w:rPr>
          <w:rFonts w:hint="eastAsia" w:ascii="仿宋_GB2312" w:hAnsi="仿宋_GB2312" w:eastAsia="仿宋_GB2312" w:cs="仿宋_GB2312"/>
          <w:kern w:val="0"/>
          <w:sz w:val="32"/>
          <w:szCs w:val="40"/>
        </w:rPr>
        <w:t>零售药店可直接转为“双通道”定点药店</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原则上</w:t>
      </w:r>
      <w:r>
        <w:rPr>
          <w:rFonts w:hint="eastAsia" w:ascii="仿宋_GB2312" w:hAnsi="仿宋_GB2312" w:eastAsia="仿宋_GB2312" w:cs="仿宋_GB2312"/>
          <w:kern w:val="0"/>
          <w:sz w:val="32"/>
          <w:szCs w:val="40"/>
          <w:lang w:eastAsia="zh-CN"/>
        </w:rPr>
        <w:t>每个县市纳入“</w:t>
      </w:r>
      <w:r>
        <w:rPr>
          <w:rFonts w:hint="eastAsia" w:ascii="仿宋_GB2312" w:hAnsi="仿宋_GB2312" w:eastAsia="仿宋_GB2312" w:cs="仿宋_GB2312"/>
          <w:kern w:val="0"/>
          <w:sz w:val="32"/>
          <w:szCs w:val="40"/>
        </w:rPr>
        <w:t>双通道</w:t>
      </w:r>
      <w:r>
        <w:rPr>
          <w:rFonts w:hint="eastAsia" w:ascii="仿宋_GB2312" w:hAnsi="仿宋_GB2312" w:eastAsia="仿宋_GB2312" w:cs="仿宋_GB2312"/>
          <w:kern w:val="0"/>
          <w:sz w:val="32"/>
          <w:szCs w:val="40"/>
          <w:lang w:eastAsia="zh-CN"/>
        </w:rPr>
        <w:t>”管理的</w:t>
      </w:r>
      <w:r>
        <w:rPr>
          <w:rFonts w:hint="eastAsia" w:ascii="仿宋_GB2312" w:hAnsi="仿宋_GB2312" w:eastAsia="仿宋_GB2312" w:cs="仿宋_GB2312"/>
          <w:kern w:val="0"/>
          <w:sz w:val="32"/>
          <w:szCs w:val="40"/>
        </w:rPr>
        <w:t>定点药店不少于1家</w:t>
      </w:r>
      <w:r>
        <w:rPr>
          <w:rFonts w:hint="eastAsia" w:ascii="仿宋_GB2312" w:hAnsi="仿宋_GB2312" w:eastAsia="仿宋_GB2312" w:cs="仿宋_GB2312"/>
          <w:kern w:val="0"/>
          <w:sz w:val="32"/>
          <w:szCs w:val="40"/>
          <w:lang w:eastAsia="zh-CN"/>
        </w:rPr>
        <w:t>，执行第十四条中要求的条件</w:t>
      </w:r>
      <w:r>
        <w:rPr>
          <w:rFonts w:hint="eastAsia" w:ascii="仿宋_GB2312" w:hAnsi="仿宋_GB2312" w:eastAsia="仿宋_GB2312" w:cs="仿宋_GB2312"/>
          <w:kern w:val="0"/>
          <w:sz w:val="32"/>
          <w:szCs w:val="40"/>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val="en-US" w:eastAsia="zh-CN"/>
        </w:rPr>
      </w:pPr>
      <w:r>
        <w:rPr>
          <w:rFonts w:hint="eastAsia" w:ascii="黑体" w:hAnsi="黑体" w:eastAsia="黑体" w:cs="黑体"/>
          <w:kern w:val="0"/>
          <w:sz w:val="32"/>
          <w:szCs w:val="40"/>
          <w:lang w:val="en-US" w:eastAsia="zh-CN"/>
        </w:rPr>
        <w:t xml:space="preserve">第十六条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lang w:eastAsia="zh-CN"/>
        </w:rPr>
        <w:t>“双通道”药店遴选程序</w:t>
      </w:r>
      <w:r>
        <w:rPr>
          <w:rFonts w:hint="eastAsia" w:ascii="仿宋_GB2312" w:hAnsi="仿宋_GB2312" w:eastAsia="仿宋_GB2312" w:cs="仿宋_GB2312"/>
          <w:kern w:val="0"/>
          <w:sz w:val="32"/>
          <w:szCs w:val="40"/>
          <w:lang w:val="en-US" w:eastAsia="zh-CN"/>
        </w:rPr>
        <w:t>参照《楚雄州医疗保障定点管理经办规程实施细则（试行）》执行</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建立健全双通道定点药店适度竞争、有进有出、动态调整机制</w:t>
      </w:r>
      <w:r>
        <w:rPr>
          <w:rFonts w:hint="eastAsia" w:ascii="仿宋_GB2312" w:hAnsi="仿宋_GB2312" w:eastAsia="仿宋_GB2312" w:cs="仿宋_GB2312"/>
          <w:kern w:val="0"/>
          <w:sz w:val="32"/>
          <w:szCs w:val="40"/>
          <w:lang w:eastAsia="zh-CN"/>
        </w:rPr>
        <w:t>。各级医保经办机构确定的“双通道”定点医药机构及负责在线开展医疗服务的医师、药师名单向社会公布，并报州</w:t>
      </w:r>
      <w:r>
        <w:rPr>
          <w:rFonts w:hint="eastAsia" w:ascii="仿宋_GB2312" w:hAnsi="仿宋_GB2312" w:eastAsia="仿宋_GB2312" w:cs="仿宋_GB2312"/>
          <w:kern w:val="0"/>
          <w:sz w:val="32"/>
          <w:szCs w:val="40"/>
          <w:lang w:val="en-US" w:eastAsia="zh-CN"/>
        </w:rPr>
        <w:t>级</w:t>
      </w:r>
      <w:r>
        <w:rPr>
          <w:rFonts w:hint="eastAsia" w:ascii="仿宋_GB2312" w:hAnsi="仿宋_GB2312" w:eastAsia="仿宋_GB2312" w:cs="仿宋_GB2312"/>
          <w:kern w:val="0"/>
          <w:sz w:val="32"/>
          <w:szCs w:val="40"/>
          <w:lang w:eastAsia="zh-CN"/>
        </w:rPr>
        <w:t>医疗保障行政部门备案。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kern w:val="0"/>
          <w:sz w:val="32"/>
          <w:szCs w:val="40"/>
          <w:lang w:val="en-US" w:eastAsia="zh-CN"/>
        </w:rPr>
      </w:pPr>
      <w:r>
        <w:rPr>
          <w:rFonts w:hint="eastAsia" w:ascii="黑体" w:hAnsi="黑体" w:eastAsia="黑体" w:cs="黑体"/>
          <w:kern w:val="0"/>
          <w:sz w:val="32"/>
          <w:szCs w:val="40"/>
          <w:lang w:val="en-US" w:eastAsia="zh-CN"/>
        </w:rPr>
        <w:t>第四章  服务管理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val="en-US" w:eastAsia="zh-CN"/>
        </w:rPr>
      </w:pPr>
      <w:r>
        <w:rPr>
          <w:rFonts w:hint="eastAsia" w:ascii="黑体" w:hAnsi="黑体" w:eastAsia="黑体" w:cs="黑体"/>
          <w:kern w:val="0"/>
          <w:sz w:val="32"/>
          <w:szCs w:val="40"/>
          <w:lang w:val="en-US" w:eastAsia="zh-CN"/>
        </w:rPr>
        <w:t xml:space="preserve">第十七条 </w:t>
      </w:r>
      <w:r>
        <w:rPr>
          <w:rFonts w:hint="eastAsia" w:ascii="仿宋_GB2312" w:hAnsi="仿宋_GB2312" w:eastAsia="仿宋_GB2312" w:cs="仿宋_GB2312"/>
          <w:kern w:val="0"/>
          <w:sz w:val="32"/>
          <w:szCs w:val="40"/>
          <w:lang w:val="en-US" w:eastAsia="zh-CN"/>
        </w:rPr>
        <w:t xml:space="preserve"> 在“双通道”药店购买药品时，参保患者仅支付按规定应由个人负担的部分，医保统筹基金支付部分由医保经办机构与“双通道”药店直接结算。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val="en-US" w:eastAsia="zh-CN"/>
        </w:rPr>
      </w:pPr>
      <w:r>
        <w:rPr>
          <w:rFonts w:hint="eastAsia" w:ascii="仿宋_GB2312" w:hAnsi="仿宋_GB2312" w:eastAsia="仿宋_GB2312" w:cs="仿宋_GB2312"/>
          <w:kern w:val="0"/>
          <w:sz w:val="32"/>
          <w:szCs w:val="40"/>
          <w:lang w:val="en-US" w:eastAsia="zh-CN"/>
        </w:rPr>
        <w:t>参保患者凭处方在异地“双通道”药店购买“双通道”药品，药品费用按照异地就医管理规定直接结算。无法系统结算的特殊情况，可凭定点医疗机构或“双通道”药店统一开具的相关票据到参保地医保经办机构进行手工结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val="en-US" w:eastAsia="zh-CN"/>
        </w:rPr>
      </w:pPr>
      <w:r>
        <w:rPr>
          <w:rFonts w:hint="eastAsia" w:ascii="黑体" w:hAnsi="黑体" w:eastAsia="黑体" w:cs="黑体"/>
          <w:kern w:val="0"/>
          <w:sz w:val="32"/>
          <w:szCs w:val="40"/>
          <w:lang w:val="en-US" w:eastAsia="zh-CN"/>
        </w:rPr>
        <w:t xml:space="preserve">第十八条 </w:t>
      </w:r>
      <w:r>
        <w:rPr>
          <w:rFonts w:hint="eastAsia" w:ascii="仿宋_GB2312" w:hAnsi="仿宋_GB2312" w:eastAsia="仿宋_GB2312" w:cs="仿宋_GB2312"/>
          <w:kern w:val="0"/>
          <w:sz w:val="32"/>
          <w:szCs w:val="40"/>
          <w:lang w:val="en-US" w:eastAsia="zh-CN"/>
        </w:rPr>
        <w:t xml:space="preserve"> 在“双通道”药店进行待遇支付的谈判药品费用单列，不纳入开具处方医疗机构医保基金总额控制范围，单独予以核算支付。各级医保经办机构每年根据定点医疗机构采购和使用谈判药品情况，合理调整定点医疗机构医保基金预算总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黑体" w:hAnsi="黑体" w:eastAsia="黑体" w:cs="黑体"/>
          <w:kern w:val="0"/>
          <w:sz w:val="32"/>
          <w:szCs w:val="40"/>
          <w:lang w:val="en-US" w:eastAsia="zh-CN"/>
        </w:rPr>
        <w:t>第十九条</w:t>
      </w:r>
      <w:r>
        <w:rPr>
          <w:rFonts w:hint="eastAsia" w:ascii="仿宋_GB2312" w:hAnsi="仿宋_GB2312" w:eastAsia="仿宋_GB2312" w:cs="仿宋_GB2312"/>
          <w:kern w:val="0"/>
          <w:sz w:val="32"/>
          <w:szCs w:val="40"/>
          <w:lang w:val="en-US" w:eastAsia="zh-CN"/>
        </w:rPr>
        <w:t xml:space="preserve">  患者在</w:t>
      </w:r>
      <w:r>
        <w:rPr>
          <w:rFonts w:hint="eastAsia" w:ascii="仿宋_GB2312" w:hAnsi="仿宋_GB2312" w:eastAsia="仿宋_GB2312" w:cs="仿宋_GB2312"/>
          <w:kern w:val="0"/>
          <w:sz w:val="32"/>
          <w:szCs w:val="40"/>
        </w:rPr>
        <w:t>定点医疗机构住院</w:t>
      </w:r>
      <w:r>
        <w:rPr>
          <w:rFonts w:hint="eastAsia" w:ascii="仿宋_GB2312" w:hAnsi="仿宋_GB2312" w:eastAsia="仿宋_GB2312" w:cs="仿宋_GB2312"/>
          <w:kern w:val="0"/>
          <w:sz w:val="32"/>
          <w:szCs w:val="40"/>
          <w:lang w:eastAsia="zh-CN"/>
        </w:rPr>
        <w:t>期间，在院外配备</w:t>
      </w:r>
      <w:r>
        <w:rPr>
          <w:rFonts w:hint="eastAsia" w:ascii="仿宋_GB2312" w:hAnsi="仿宋_GB2312" w:eastAsia="仿宋_GB2312" w:cs="仿宋_GB2312"/>
          <w:kern w:val="0"/>
          <w:sz w:val="32"/>
          <w:szCs w:val="40"/>
        </w:rPr>
        <w:t>“双通道”管理药品时</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由临床医师按规定开具</w:t>
      </w:r>
      <w:r>
        <w:rPr>
          <w:rFonts w:hint="eastAsia" w:ascii="仿宋_GB2312" w:hAnsi="仿宋_GB2312" w:eastAsia="仿宋_GB2312" w:cs="仿宋_GB2312"/>
          <w:kern w:val="0"/>
          <w:sz w:val="32"/>
          <w:szCs w:val="40"/>
          <w:lang w:eastAsia="zh-CN"/>
        </w:rPr>
        <w:t>处方，药品</w:t>
      </w:r>
      <w:r>
        <w:rPr>
          <w:rFonts w:hint="eastAsia" w:ascii="仿宋_GB2312" w:hAnsi="仿宋_GB2312" w:eastAsia="仿宋_GB2312" w:cs="仿宋_GB2312"/>
          <w:kern w:val="0"/>
          <w:sz w:val="32"/>
          <w:szCs w:val="40"/>
          <w:lang w:val="en-US" w:eastAsia="zh-CN"/>
        </w:rPr>
        <w:t>费用在住院费用中统一结算</w:t>
      </w:r>
      <w:r>
        <w:rPr>
          <w:rFonts w:hint="eastAsia" w:ascii="仿宋_GB2312" w:hAnsi="仿宋_GB2312" w:eastAsia="仿宋_GB2312" w:cs="仿宋_GB2312"/>
          <w:kern w:val="0"/>
          <w:sz w:val="32"/>
          <w:szCs w:val="40"/>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val="en-US" w:eastAsia="zh-CN"/>
        </w:rPr>
      </w:pPr>
      <w:r>
        <w:rPr>
          <w:rFonts w:hint="eastAsia" w:ascii="仿宋_GB2312" w:hAnsi="仿宋_GB2312" w:eastAsia="仿宋_GB2312" w:cs="仿宋_GB2312"/>
          <w:kern w:val="0"/>
          <w:sz w:val="32"/>
          <w:szCs w:val="40"/>
          <w:lang w:val="en-US" w:eastAsia="zh-CN"/>
        </w:rPr>
        <w:t>患者在“双通道”</w:t>
      </w:r>
      <w:r>
        <w:rPr>
          <w:rFonts w:hint="eastAsia" w:ascii="仿宋_GB2312" w:hAnsi="仿宋_GB2312" w:eastAsia="仿宋_GB2312" w:cs="仿宋_GB2312"/>
          <w:kern w:val="0"/>
          <w:sz w:val="32"/>
          <w:szCs w:val="40"/>
          <w:lang w:eastAsia="zh-CN"/>
        </w:rPr>
        <w:t>药店</w:t>
      </w:r>
      <w:r>
        <w:rPr>
          <w:rFonts w:hint="eastAsia" w:ascii="仿宋_GB2312" w:hAnsi="仿宋_GB2312" w:eastAsia="仿宋_GB2312" w:cs="仿宋_GB2312"/>
          <w:kern w:val="0"/>
          <w:sz w:val="32"/>
          <w:szCs w:val="40"/>
          <w:lang w:val="en-US" w:eastAsia="zh-CN"/>
        </w:rPr>
        <w:t>购买谈判药，费用由医保经办机构与“双通道”药店按门诊谈判药待遇保障政策结算。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val="en-US" w:eastAsia="zh-CN"/>
        </w:rPr>
      </w:pPr>
      <w:r>
        <w:rPr>
          <w:rFonts w:hint="eastAsia" w:ascii="仿宋_GB2312" w:hAnsi="仿宋_GB2312" w:eastAsia="仿宋_GB2312" w:cs="仿宋_GB2312"/>
          <w:kern w:val="0"/>
          <w:sz w:val="32"/>
          <w:szCs w:val="40"/>
          <w:lang w:val="en-US" w:eastAsia="zh-CN"/>
        </w:rPr>
        <w:t>探索将特殊病、慢性病“双通道”管理药品，由医保经办机构与“双通道”药店按特殊病、慢性病待遇保障政策结算。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黑体" w:hAnsi="黑体" w:eastAsia="黑体" w:cs="黑体"/>
          <w:kern w:val="0"/>
          <w:sz w:val="32"/>
          <w:szCs w:val="40"/>
          <w:lang w:val="en-US" w:eastAsia="zh-CN"/>
        </w:rPr>
        <w:t xml:space="preserve">第二十条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lang w:eastAsia="zh-CN"/>
        </w:rPr>
        <w:t>开具“双通道”药品的医师</w:t>
      </w:r>
      <w:r>
        <w:rPr>
          <w:rFonts w:hint="eastAsia" w:ascii="仿宋_GB2312" w:hAnsi="仿宋_GB2312" w:eastAsia="仿宋_GB2312" w:cs="仿宋_GB2312"/>
          <w:kern w:val="0"/>
          <w:sz w:val="32"/>
          <w:szCs w:val="40"/>
        </w:rPr>
        <w:t>原则上由具有</w:t>
      </w:r>
      <w:r>
        <w:rPr>
          <w:rFonts w:hint="eastAsia" w:ascii="仿宋_GB2312" w:hAnsi="仿宋_GB2312" w:eastAsia="仿宋_GB2312" w:cs="仿宋_GB2312"/>
          <w:kern w:val="0"/>
          <w:sz w:val="32"/>
          <w:szCs w:val="40"/>
          <w:lang w:val="en-US" w:eastAsia="zh-CN"/>
        </w:rPr>
        <w:t>执业</w:t>
      </w:r>
      <w:r>
        <w:rPr>
          <w:rFonts w:hint="eastAsia" w:ascii="仿宋_GB2312" w:hAnsi="仿宋_GB2312" w:eastAsia="仿宋_GB2312" w:cs="仿宋_GB2312"/>
          <w:kern w:val="0"/>
          <w:sz w:val="32"/>
          <w:szCs w:val="40"/>
          <w:lang w:eastAsia="zh-CN"/>
        </w:rPr>
        <w:t>医师资格的相关专业主治医师以上职称的医师（</w:t>
      </w:r>
      <w:r>
        <w:rPr>
          <w:rFonts w:hint="eastAsia" w:ascii="仿宋_GB2312" w:hAnsi="仿宋_GB2312" w:eastAsia="仿宋_GB2312" w:cs="仿宋_GB2312"/>
          <w:kern w:val="0"/>
          <w:sz w:val="32"/>
          <w:szCs w:val="40"/>
        </w:rPr>
        <w:t>二级医疗机构可放宽到</w:t>
      </w:r>
      <w:r>
        <w:rPr>
          <w:rFonts w:hint="eastAsia" w:ascii="仿宋_GB2312" w:hAnsi="仿宋_GB2312" w:eastAsia="仿宋_GB2312" w:cs="仿宋_GB2312"/>
          <w:kern w:val="0"/>
          <w:sz w:val="32"/>
          <w:szCs w:val="40"/>
          <w:lang w:eastAsia="zh-CN"/>
        </w:rPr>
        <w:t>住院</w:t>
      </w:r>
      <w:r>
        <w:rPr>
          <w:rFonts w:hint="eastAsia" w:ascii="仿宋_GB2312" w:hAnsi="仿宋_GB2312" w:eastAsia="仿宋_GB2312" w:cs="仿宋_GB2312"/>
          <w:kern w:val="0"/>
          <w:sz w:val="32"/>
          <w:szCs w:val="40"/>
        </w:rPr>
        <w:t>医师</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担任</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由符合条件的定点医疗机构</w:t>
      </w:r>
      <w:r>
        <w:rPr>
          <w:rFonts w:hint="eastAsia" w:ascii="仿宋_GB2312" w:hAnsi="仿宋_GB2312" w:eastAsia="仿宋_GB2312" w:cs="仿宋_GB2312"/>
          <w:kern w:val="0"/>
          <w:sz w:val="32"/>
          <w:szCs w:val="40"/>
          <w:lang w:eastAsia="zh-CN"/>
        </w:rPr>
        <w:t>推荐</w:t>
      </w:r>
      <w:r>
        <w:rPr>
          <w:rFonts w:hint="eastAsia" w:ascii="仿宋_GB2312" w:hAnsi="仿宋_GB2312" w:eastAsia="仿宋_GB2312" w:cs="仿宋_GB2312"/>
          <w:kern w:val="0"/>
          <w:sz w:val="32"/>
          <w:szCs w:val="40"/>
        </w:rPr>
        <w:t>报</w:t>
      </w:r>
      <w:r>
        <w:rPr>
          <w:rFonts w:hint="eastAsia" w:ascii="仿宋_GB2312" w:hAnsi="仿宋_GB2312" w:eastAsia="仿宋_GB2312" w:cs="仿宋_GB2312"/>
          <w:kern w:val="0"/>
          <w:sz w:val="32"/>
          <w:szCs w:val="40"/>
          <w:lang w:eastAsia="zh-CN"/>
        </w:rPr>
        <w:t>当地</w:t>
      </w:r>
      <w:r>
        <w:rPr>
          <w:rFonts w:hint="eastAsia" w:ascii="仿宋_GB2312" w:hAnsi="仿宋_GB2312" w:eastAsia="仿宋_GB2312" w:cs="仿宋_GB2312"/>
          <w:kern w:val="0"/>
          <w:sz w:val="32"/>
          <w:szCs w:val="40"/>
        </w:rPr>
        <w:t>医保</w:t>
      </w:r>
      <w:r>
        <w:rPr>
          <w:rFonts w:hint="eastAsia" w:ascii="仿宋_GB2312" w:hAnsi="仿宋_GB2312" w:eastAsia="仿宋_GB2312" w:cs="仿宋_GB2312"/>
          <w:kern w:val="0"/>
          <w:sz w:val="32"/>
          <w:szCs w:val="40"/>
          <w:lang w:eastAsia="zh-CN"/>
        </w:rPr>
        <w:t>经办机构审核后</w:t>
      </w:r>
      <w:r>
        <w:rPr>
          <w:rFonts w:hint="eastAsia" w:ascii="仿宋_GB2312" w:hAnsi="仿宋_GB2312" w:eastAsia="仿宋_GB2312" w:cs="仿宋_GB2312"/>
          <w:kern w:val="0"/>
          <w:sz w:val="32"/>
          <w:szCs w:val="40"/>
        </w:rPr>
        <w:t>备案</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定点医疗机构</w:t>
      </w:r>
      <w:r>
        <w:rPr>
          <w:rFonts w:hint="eastAsia" w:ascii="仿宋_GB2312" w:hAnsi="仿宋_GB2312" w:eastAsia="仿宋_GB2312" w:cs="仿宋_GB2312"/>
          <w:kern w:val="0"/>
          <w:sz w:val="32"/>
          <w:szCs w:val="40"/>
          <w:lang w:eastAsia="zh-CN"/>
        </w:rPr>
        <w:t>建立院内管理考核机制，对</w:t>
      </w:r>
      <w:r>
        <w:rPr>
          <w:rFonts w:hint="eastAsia" w:ascii="仿宋_GB2312" w:hAnsi="仿宋_GB2312" w:eastAsia="仿宋_GB2312" w:cs="仿宋_GB2312"/>
          <w:kern w:val="0"/>
          <w:sz w:val="32"/>
          <w:szCs w:val="40"/>
        </w:rPr>
        <w:t>责任医师</w:t>
      </w:r>
      <w:r>
        <w:rPr>
          <w:rFonts w:hint="eastAsia" w:ascii="仿宋_GB2312" w:hAnsi="仿宋_GB2312" w:eastAsia="仿宋_GB2312" w:cs="仿宋_GB2312"/>
          <w:kern w:val="0"/>
          <w:sz w:val="32"/>
          <w:szCs w:val="40"/>
          <w:lang w:eastAsia="zh-CN"/>
        </w:rPr>
        <w:t>进行</w:t>
      </w:r>
      <w:r>
        <w:rPr>
          <w:rFonts w:hint="eastAsia" w:ascii="仿宋_GB2312" w:hAnsi="仿宋_GB2312" w:eastAsia="仿宋_GB2312" w:cs="仿宋_GB2312"/>
          <w:kern w:val="0"/>
          <w:sz w:val="32"/>
          <w:szCs w:val="40"/>
        </w:rPr>
        <w:t>年度考核。“双通道”管理医师的分布和数量要综合考虑参保患者就医便捷性和医保管理需要合理确定</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医疗保障部门汇总医师名单后定期统一发布。各县</w:t>
      </w:r>
      <w:r>
        <w:rPr>
          <w:rFonts w:hint="eastAsia" w:ascii="仿宋_GB2312" w:hAnsi="仿宋_GB2312" w:eastAsia="仿宋_GB2312" w:cs="仿宋_GB2312"/>
          <w:kern w:val="0"/>
          <w:sz w:val="32"/>
          <w:szCs w:val="40"/>
          <w:lang w:eastAsia="zh-CN"/>
        </w:rPr>
        <w:t>市</w:t>
      </w:r>
      <w:r>
        <w:rPr>
          <w:rFonts w:hint="eastAsia" w:ascii="仿宋_GB2312" w:hAnsi="仿宋_GB2312" w:eastAsia="仿宋_GB2312" w:cs="仿宋_GB2312"/>
          <w:kern w:val="0"/>
          <w:sz w:val="32"/>
          <w:szCs w:val="40"/>
        </w:rPr>
        <w:t>要实现“双通道”管理医师的区域互认。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eastAsia="zh-CN"/>
        </w:rPr>
      </w:pPr>
      <w:r>
        <w:rPr>
          <w:rFonts w:hint="eastAsia" w:ascii="黑体" w:hAnsi="黑体" w:eastAsia="黑体" w:cs="黑体"/>
          <w:kern w:val="0"/>
          <w:sz w:val="32"/>
          <w:szCs w:val="40"/>
          <w:lang w:val="en-US" w:eastAsia="zh-CN"/>
        </w:rPr>
        <w:t xml:space="preserve">第二十一条 </w:t>
      </w:r>
      <w:r>
        <w:rPr>
          <w:rFonts w:hint="eastAsia" w:ascii="仿宋_GB2312" w:hAnsi="仿宋_GB2312" w:eastAsia="仿宋_GB2312" w:cs="仿宋_GB2312"/>
          <w:kern w:val="0"/>
          <w:sz w:val="32"/>
          <w:szCs w:val="40"/>
          <w:lang w:val="en-US" w:eastAsia="zh-CN"/>
        </w:rPr>
        <w:t xml:space="preserve"> 医师应根据国家医保药品目录、患者病情用药需求和处方管理规定，而不是根据医疗机构备药情况开具处方，并按医保相关规定标明就医类别，处方需诊断、治疗与病情相符，且符合药品法定适应症和医保目录限制支付范围</w:t>
      </w:r>
      <w:r>
        <w:rPr>
          <w:rFonts w:hint="eastAsia" w:ascii="仿宋_GB2312" w:hAnsi="仿宋_GB2312" w:eastAsia="仿宋_GB2312" w:cs="仿宋_GB2312"/>
          <w:kern w:val="0"/>
          <w:sz w:val="32"/>
          <w:szCs w:val="40"/>
          <w:lang w:eastAsia="zh-CN"/>
        </w:rPr>
        <w:t>。在确保符合诊疗规范、用药安全的情况下，根据长期处方管理规范和门诊患者诊疗需要，对符合条件的慢病患者开具长处方。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eastAsia="zh-CN"/>
        </w:rPr>
      </w:pPr>
      <w:r>
        <w:rPr>
          <w:rFonts w:hint="eastAsia" w:ascii="仿宋_GB2312" w:hAnsi="仿宋_GB2312" w:eastAsia="仿宋_GB2312" w:cs="仿宋_GB2312"/>
          <w:kern w:val="0"/>
          <w:sz w:val="32"/>
          <w:szCs w:val="40"/>
          <w:lang w:eastAsia="zh-CN"/>
        </w:rPr>
        <w:t>定点医疗机构暂时无法配备的“双通道”药品，要建立处方流转机制。对处方进行合理用药和医保支付审核，经参保患者同意后，将审核通过的处方流转到定点零售药店实现供应保障。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val="en-US" w:eastAsia="zh-CN"/>
        </w:rPr>
      </w:pPr>
      <w:r>
        <w:rPr>
          <w:rFonts w:hint="eastAsia" w:ascii="黑体" w:hAnsi="黑体" w:eastAsia="黑体" w:cs="黑体"/>
          <w:kern w:val="0"/>
          <w:sz w:val="32"/>
          <w:szCs w:val="40"/>
          <w:lang w:val="en-US" w:eastAsia="zh-CN"/>
        </w:rPr>
        <w:t xml:space="preserve">第二十二条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lang w:eastAsia="zh-CN"/>
        </w:rPr>
        <w:t>依托全省统一的</w:t>
      </w:r>
      <w:r>
        <w:rPr>
          <w:rFonts w:hint="eastAsia" w:ascii="仿宋_GB2312" w:hAnsi="仿宋_GB2312" w:eastAsia="仿宋_GB2312" w:cs="仿宋_GB2312"/>
          <w:kern w:val="0"/>
          <w:sz w:val="32"/>
          <w:szCs w:val="40"/>
        </w:rPr>
        <w:t>处方流转</w:t>
      </w:r>
      <w:r>
        <w:rPr>
          <w:rFonts w:hint="eastAsia" w:ascii="仿宋_GB2312" w:hAnsi="仿宋_GB2312" w:eastAsia="仿宋_GB2312" w:cs="仿宋_GB2312"/>
          <w:kern w:val="0"/>
          <w:sz w:val="32"/>
          <w:szCs w:val="40"/>
          <w:lang w:eastAsia="zh-CN"/>
        </w:rPr>
        <w:t>平台</w:t>
      </w:r>
      <w:r>
        <w:rPr>
          <w:rFonts w:hint="eastAsia" w:ascii="仿宋_GB2312" w:hAnsi="仿宋_GB2312" w:eastAsia="仿宋_GB2312" w:cs="仿宋_GB2312"/>
          <w:kern w:val="0"/>
          <w:sz w:val="32"/>
          <w:szCs w:val="40"/>
        </w:rPr>
        <w:t>建设</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连通医保经办机构、定点医疗机构、定点零售药店</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保证电子处方顺畅流转</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各级医疗保障部门要督促指导“双通道”定点医药机构</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加快信息系统</w:t>
      </w:r>
      <w:r>
        <w:rPr>
          <w:rFonts w:hint="eastAsia" w:ascii="仿宋_GB2312" w:hAnsi="仿宋_GB2312" w:eastAsia="仿宋_GB2312" w:cs="仿宋_GB2312"/>
          <w:kern w:val="0"/>
          <w:sz w:val="32"/>
          <w:szCs w:val="40"/>
          <w:lang w:eastAsia="zh-CN"/>
        </w:rPr>
        <w:t>对接，进一步完善医保结算功能、人证相符审核、电子处方模块建设，实现处方流转外购药品“一站式”结算。鼓励“双通道”医药机构提供“互联网</w:t>
      </w:r>
      <w:r>
        <w:rPr>
          <w:rFonts w:hint="eastAsia" w:ascii="仿宋_GB2312" w:hAnsi="仿宋_GB2312" w:eastAsia="仿宋_GB2312" w:cs="仿宋_GB2312"/>
          <w:kern w:val="0"/>
          <w:sz w:val="32"/>
          <w:szCs w:val="40"/>
          <w:lang w:val="en-US" w:eastAsia="zh-CN"/>
        </w:rPr>
        <w:t>+</w:t>
      </w:r>
      <w:r>
        <w:rPr>
          <w:rFonts w:hint="eastAsia" w:ascii="仿宋_GB2312" w:hAnsi="仿宋_GB2312" w:eastAsia="仿宋_GB2312" w:cs="仿宋_GB2312"/>
          <w:kern w:val="0"/>
          <w:sz w:val="32"/>
          <w:szCs w:val="40"/>
          <w:lang w:eastAsia="zh-CN"/>
        </w:rPr>
        <w:t>”药品</w:t>
      </w:r>
      <w:r>
        <w:rPr>
          <w:rFonts w:hint="eastAsia" w:ascii="仿宋_GB2312" w:hAnsi="仿宋_GB2312" w:eastAsia="仿宋_GB2312" w:cs="仿宋_GB2312"/>
          <w:kern w:val="0"/>
          <w:sz w:val="32"/>
          <w:szCs w:val="40"/>
          <w:lang w:val="en-US" w:eastAsia="zh-CN"/>
        </w:rPr>
        <w:t>流通服务，打通线上线下服务通道，实现“网订店取”或“网订店送”。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eastAsia="zh-CN"/>
        </w:rPr>
      </w:pPr>
      <w:r>
        <w:rPr>
          <w:rFonts w:hint="eastAsia" w:ascii="仿宋_GB2312" w:hAnsi="仿宋_GB2312" w:eastAsia="仿宋_GB2312" w:cs="仿宋_GB2312"/>
          <w:kern w:val="0"/>
          <w:sz w:val="32"/>
          <w:szCs w:val="40"/>
          <w:lang w:eastAsia="zh-CN"/>
        </w:rPr>
        <w:t>推动医保移动支付平台建设，促进“双通道”用药保障机制和移动支付相结合，开通网上支付、移动支付等功能，提供“双通道”药品医保直接结算服务。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eastAsia="zh-CN"/>
        </w:rPr>
      </w:pPr>
      <w:r>
        <w:rPr>
          <w:rFonts w:hint="eastAsia" w:ascii="黑体" w:hAnsi="黑体" w:eastAsia="黑体" w:cs="黑体"/>
          <w:kern w:val="0"/>
          <w:sz w:val="32"/>
          <w:szCs w:val="40"/>
          <w:lang w:val="en-US" w:eastAsia="zh-CN"/>
        </w:rPr>
        <w:t xml:space="preserve">第二十三条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rPr>
        <w:t>各</w:t>
      </w:r>
      <w:r>
        <w:rPr>
          <w:rFonts w:hint="eastAsia" w:ascii="仿宋_GB2312" w:hAnsi="仿宋_GB2312" w:eastAsia="仿宋_GB2312" w:cs="仿宋_GB2312"/>
          <w:kern w:val="0"/>
          <w:sz w:val="32"/>
          <w:szCs w:val="40"/>
          <w:lang w:eastAsia="zh-CN"/>
        </w:rPr>
        <w:t>级</w:t>
      </w:r>
      <w:r>
        <w:rPr>
          <w:rFonts w:hint="eastAsia" w:ascii="仿宋_GB2312" w:hAnsi="仿宋_GB2312" w:eastAsia="仿宋_GB2312" w:cs="仿宋_GB2312"/>
          <w:kern w:val="0"/>
          <w:sz w:val="32"/>
          <w:szCs w:val="40"/>
        </w:rPr>
        <w:t>医保经办机构应进一步完善管理服务措施</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规范“双通道”</w:t>
      </w:r>
      <w:r>
        <w:rPr>
          <w:rFonts w:hint="eastAsia" w:ascii="仿宋_GB2312" w:hAnsi="仿宋_GB2312" w:eastAsia="仿宋_GB2312" w:cs="仿宋_GB2312"/>
          <w:kern w:val="0"/>
          <w:sz w:val="32"/>
          <w:szCs w:val="40"/>
          <w:lang w:eastAsia="zh-CN"/>
        </w:rPr>
        <w:t>医药机构医师、药师</w:t>
      </w:r>
      <w:r>
        <w:rPr>
          <w:rFonts w:hint="eastAsia" w:ascii="仿宋_GB2312" w:hAnsi="仿宋_GB2312" w:eastAsia="仿宋_GB2312" w:cs="仿宋_GB2312"/>
          <w:kern w:val="0"/>
          <w:sz w:val="32"/>
          <w:szCs w:val="40"/>
        </w:rPr>
        <w:t>管理。医保经办机构要与“双通道”医</w:t>
      </w:r>
      <w:r>
        <w:rPr>
          <w:rFonts w:hint="eastAsia" w:ascii="仿宋_GB2312" w:hAnsi="仿宋_GB2312" w:eastAsia="仿宋_GB2312" w:cs="仿宋_GB2312"/>
          <w:kern w:val="0"/>
          <w:sz w:val="32"/>
          <w:szCs w:val="40"/>
          <w:lang w:eastAsia="zh-CN"/>
        </w:rPr>
        <w:t>药</w:t>
      </w:r>
      <w:r>
        <w:rPr>
          <w:rFonts w:hint="eastAsia" w:ascii="仿宋_GB2312" w:hAnsi="仿宋_GB2312" w:eastAsia="仿宋_GB2312" w:cs="仿宋_GB2312"/>
          <w:kern w:val="0"/>
          <w:sz w:val="32"/>
          <w:szCs w:val="40"/>
        </w:rPr>
        <w:t>机构签订补充服务协议</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将“双通道”药品供应保障</w:t>
      </w:r>
      <w:r>
        <w:rPr>
          <w:rFonts w:hint="eastAsia" w:ascii="仿宋_GB2312" w:hAnsi="仿宋_GB2312" w:eastAsia="仿宋_GB2312" w:cs="仿宋_GB2312"/>
          <w:kern w:val="0"/>
          <w:sz w:val="32"/>
          <w:szCs w:val="40"/>
          <w:lang w:eastAsia="zh-CN"/>
        </w:rPr>
        <w:t>、处方流转管理和医师药师服务</w:t>
      </w:r>
      <w:r>
        <w:rPr>
          <w:rFonts w:hint="eastAsia" w:ascii="仿宋_GB2312" w:hAnsi="仿宋_GB2312" w:eastAsia="仿宋_GB2312" w:cs="仿宋_GB2312"/>
          <w:kern w:val="0"/>
          <w:sz w:val="32"/>
          <w:szCs w:val="40"/>
        </w:rPr>
        <w:t>纳入定点医药机构协议管理范围，明确主体和责任</w:t>
      </w:r>
      <w:r>
        <w:rPr>
          <w:rFonts w:hint="eastAsia" w:ascii="仿宋_GB2312" w:hAnsi="仿宋_GB2312" w:eastAsia="仿宋_GB2312" w:cs="仿宋_GB2312"/>
          <w:kern w:val="0"/>
          <w:sz w:val="32"/>
          <w:szCs w:val="40"/>
          <w:lang w:eastAsia="zh-CN"/>
        </w:rPr>
        <w:t>并与年度考核挂钩。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val="en-US" w:eastAsia="zh-CN"/>
        </w:rPr>
      </w:pPr>
      <w:r>
        <w:rPr>
          <w:rFonts w:hint="eastAsia" w:ascii="黑体" w:hAnsi="黑体" w:eastAsia="黑体" w:cs="黑体"/>
          <w:kern w:val="0"/>
          <w:sz w:val="32"/>
          <w:szCs w:val="40"/>
          <w:lang w:val="en-US" w:eastAsia="zh-CN"/>
        </w:rPr>
        <w:t xml:space="preserve">第二十四条 </w:t>
      </w:r>
      <w:r>
        <w:rPr>
          <w:rFonts w:hint="eastAsia" w:ascii="仿宋_GB2312" w:hAnsi="仿宋_GB2312" w:eastAsia="仿宋_GB2312" w:cs="仿宋_GB2312"/>
          <w:kern w:val="0"/>
          <w:sz w:val="32"/>
          <w:szCs w:val="40"/>
          <w:lang w:val="en-US" w:eastAsia="zh-CN"/>
        </w:rPr>
        <w:t xml:space="preserve"> 建立药品质量全程监管和追溯机制，落实存储、配送、使用等环节安全责任，确保“双通道”药品诊疗安全。严格遵守临床用药管理政策和规范，确保临床用药安全。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kern w:val="0"/>
          <w:sz w:val="32"/>
          <w:szCs w:val="40"/>
          <w:lang w:val="en-US" w:eastAsia="zh-CN"/>
        </w:rPr>
      </w:pPr>
      <w:r>
        <w:rPr>
          <w:rFonts w:hint="eastAsia" w:ascii="黑体" w:hAnsi="黑体" w:eastAsia="黑体" w:cs="黑体"/>
          <w:kern w:val="0"/>
          <w:sz w:val="32"/>
          <w:szCs w:val="40"/>
          <w:lang w:val="en-US" w:eastAsia="zh-CN"/>
        </w:rPr>
        <w:t>第五章  监督管理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黑体" w:hAnsi="黑体" w:eastAsia="黑体" w:cs="黑体"/>
          <w:kern w:val="0"/>
          <w:sz w:val="32"/>
          <w:szCs w:val="40"/>
          <w:lang w:val="en-US" w:eastAsia="zh-CN"/>
        </w:rPr>
        <w:t>第二十五条</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rPr>
        <w:t xml:space="preserve"> 提供“双通道”购药服务的定点医疗机构对“双通道”药品</w:t>
      </w:r>
      <w:r>
        <w:rPr>
          <w:rFonts w:hint="eastAsia" w:ascii="仿宋_GB2312" w:hAnsi="仿宋_GB2312" w:eastAsia="仿宋_GB2312" w:cs="仿宋_GB2312"/>
          <w:kern w:val="0"/>
          <w:sz w:val="32"/>
          <w:szCs w:val="40"/>
          <w:lang w:eastAsia="zh-CN"/>
        </w:rPr>
        <w:t>要</w:t>
      </w:r>
      <w:r>
        <w:rPr>
          <w:rFonts w:hint="eastAsia" w:ascii="仿宋_GB2312" w:hAnsi="仿宋_GB2312" w:eastAsia="仿宋_GB2312" w:cs="仿宋_GB2312"/>
          <w:kern w:val="0"/>
          <w:sz w:val="32"/>
          <w:szCs w:val="40"/>
        </w:rPr>
        <w:t>做到应采尽采</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按功能定位和临床需求及时配备</w:t>
      </w:r>
      <w:r>
        <w:rPr>
          <w:rFonts w:hint="eastAsia" w:ascii="仿宋_GB2312" w:hAnsi="仿宋_GB2312" w:eastAsia="仿宋_GB2312" w:cs="仿宋_GB2312"/>
          <w:kern w:val="0"/>
          <w:sz w:val="32"/>
          <w:szCs w:val="40"/>
          <w:lang w:eastAsia="zh-CN"/>
        </w:rPr>
        <w:t>，满足患者需求</w:t>
      </w:r>
      <w:r>
        <w:rPr>
          <w:rFonts w:hint="eastAsia" w:ascii="仿宋_GB2312" w:hAnsi="仿宋_GB2312" w:eastAsia="仿宋_GB2312" w:cs="仿宋_GB2312"/>
          <w:kern w:val="0"/>
          <w:sz w:val="32"/>
          <w:szCs w:val="40"/>
        </w:rPr>
        <w:t>。要加强对“双通道”药品的管理和使用</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完善药品用药指南和规范</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规范诊疗行为</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合理用药。提供“双通道”购药服务的定点医疗机构要及时召开药事管理会议</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不得以医保总额控制、医疗机构用药目录数量限制、药占比等为由影响“双通道”管理药品的供应保障与合理使用。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黑体" w:hAnsi="黑体" w:eastAsia="黑体" w:cs="黑体"/>
          <w:kern w:val="0"/>
          <w:sz w:val="32"/>
          <w:szCs w:val="40"/>
          <w:lang w:val="en-US" w:eastAsia="zh-CN"/>
        </w:rPr>
        <w:t xml:space="preserve">第二十六条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rPr>
        <w:t>提供“双通道”购药服务的定点零售药店要确保药品供应</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按供应能力和协议要求规范配备</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保障患者用药需求</w:t>
      </w:r>
      <w:r>
        <w:rPr>
          <w:rFonts w:hint="eastAsia" w:ascii="仿宋_GB2312" w:hAnsi="仿宋_GB2312" w:eastAsia="仿宋_GB2312" w:cs="仿宋_GB2312"/>
          <w:kern w:val="0"/>
          <w:sz w:val="32"/>
          <w:szCs w:val="40"/>
          <w:lang w:eastAsia="zh-CN"/>
        </w:rPr>
        <w:t>。严格执行药品价格政策，</w:t>
      </w:r>
      <w:r>
        <w:rPr>
          <w:rFonts w:hint="eastAsia" w:ascii="仿宋_GB2312" w:hAnsi="仿宋_GB2312" w:eastAsia="仿宋_GB2312" w:cs="仿宋_GB2312"/>
          <w:kern w:val="0"/>
          <w:sz w:val="32"/>
          <w:szCs w:val="40"/>
        </w:rPr>
        <w:t>遵守谈判药品价格规定</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不得以超过谈判约定的支付标准销售。根据“双通道”管理药品的给药途径及需求</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将药品配送至参保患者就诊医院。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黑体" w:hAnsi="黑体" w:eastAsia="黑体" w:cs="黑体"/>
          <w:kern w:val="0"/>
          <w:sz w:val="32"/>
          <w:szCs w:val="40"/>
          <w:lang w:val="en-US" w:eastAsia="zh-CN"/>
        </w:rPr>
        <w:t xml:space="preserve">第二十七条  </w:t>
      </w:r>
      <w:r>
        <w:rPr>
          <w:rFonts w:hint="eastAsia" w:ascii="仿宋_GB2312" w:hAnsi="仿宋_GB2312" w:eastAsia="仿宋_GB2312" w:cs="仿宋_GB2312"/>
          <w:kern w:val="0"/>
          <w:sz w:val="32"/>
          <w:szCs w:val="40"/>
        </w:rPr>
        <w:t>提供“双通道”购药服务的定点医药机构应认真执行药品有关管理规定和要求</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加强安全管理</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做好“双通道”管理药品的审核、登记用药信息、配药、整理归档等相关工作。需长期使用的</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一次调配剂量应</w:t>
      </w:r>
      <w:r>
        <w:rPr>
          <w:rFonts w:hint="eastAsia" w:ascii="仿宋_GB2312" w:hAnsi="仿宋_GB2312" w:eastAsia="仿宋_GB2312" w:cs="仿宋_GB2312"/>
          <w:kern w:val="0"/>
          <w:sz w:val="32"/>
          <w:szCs w:val="40"/>
          <w:lang w:val="en-US" w:eastAsia="zh-CN"/>
        </w:rPr>
        <w:t>符合长处方管理规定</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未按规定和要求</w:t>
      </w:r>
      <w:r>
        <w:rPr>
          <w:rFonts w:hint="eastAsia" w:ascii="仿宋_GB2312" w:hAnsi="仿宋_GB2312" w:eastAsia="仿宋_GB2312" w:cs="仿宋_GB2312"/>
          <w:kern w:val="0"/>
          <w:sz w:val="32"/>
          <w:szCs w:val="40"/>
          <w:lang w:val="en-US" w:eastAsia="zh-CN"/>
        </w:rPr>
        <w:t>执行</w:t>
      </w:r>
      <w:r>
        <w:rPr>
          <w:rFonts w:hint="eastAsia" w:ascii="仿宋_GB2312" w:hAnsi="仿宋_GB2312" w:eastAsia="仿宋_GB2312" w:cs="仿宋_GB2312"/>
          <w:kern w:val="0"/>
          <w:sz w:val="32"/>
          <w:szCs w:val="40"/>
        </w:rPr>
        <w:t>造成医保基金损失的</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由提供“双通道”购药服务的定点医药机构承担相应责任。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黑体" w:hAnsi="黑体" w:eastAsia="黑体" w:cs="黑体"/>
          <w:kern w:val="0"/>
          <w:sz w:val="32"/>
          <w:szCs w:val="40"/>
          <w:lang w:val="en-US" w:eastAsia="zh-CN"/>
        </w:rPr>
        <w:t xml:space="preserve">第二十八条 </w:t>
      </w:r>
      <w:r>
        <w:rPr>
          <w:rFonts w:hint="eastAsia" w:ascii="仿宋_GB2312" w:hAnsi="仿宋_GB2312" w:eastAsia="仿宋_GB2312" w:cs="仿宋_GB2312"/>
          <w:kern w:val="0"/>
          <w:sz w:val="32"/>
          <w:szCs w:val="40"/>
        </w:rPr>
        <w:t xml:space="preserve"> “双通道”管理药品责任医生应根据药品限定支付范围</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签署医师审核意见</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接诊时应认真核对参保患者身份</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做到人证卡相符</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真实记录病情</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开药时间和剂量。如不按规定</w:t>
      </w:r>
      <w:r>
        <w:rPr>
          <w:rFonts w:hint="eastAsia" w:ascii="仿宋_GB2312" w:hAnsi="仿宋_GB2312" w:eastAsia="仿宋_GB2312" w:cs="仿宋_GB2312"/>
          <w:kern w:val="0"/>
          <w:sz w:val="32"/>
          <w:szCs w:val="40"/>
          <w:lang w:val="en-US" w:eastAsia="zh-CN"/>
        </w:rPr>
        <w:t>执行</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诱导或者协助他人冒名、虚假就医购药</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造成基金损失的</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按相关规定依法依规处理。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黑体" w:hAnsi="黑体" w:eastAsia="黑体" w:cs="黑体"/>
          <w:kern w:val="0"/>
          <w:sz w:val="32"/>
          <w:szCs w:val="40"/>
          <w:lang w:val="en-US" w:eastAsia="zh-CN"/>
        </w:rPr>
        <w:t>第二十九条</w:t>
      </w:r>
      <w:r>
        <w:rPr>
          <w:rFonts w:hint="eastAsia" w:ascii="仿宋_GB2312" w:hAnsi="仿宋_GB2312" w:eastAsia="仿宋_GB2312" w:cs="仿宋_GB2312"/>
          <w:kern w:val="0"/>
          <w:sz w:val="32"/>
          <w:szCs w:val="40"/>
        </w:rPr>
        <w:t xml:space="preserve">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rPr>
        <w:t>参保人应当持本人</w:t>
      </w:r>
      <w:r>
        <w:rPr>
          <w:rFonts w:hint="eastAsia" w:ascii="仿宋_GB2312" w:hAnsi="仿宋_GB2312" w:eastAsia="仿宋_GB2312" w:cs="仿宋_GB2312"/>
          <w:kern w:val="0"/>
          <w:sz w:val="32"/>
          <w:szCs w:val="40"/>
          <w:lang w:val="en-US" w:eastAsia="zh-CN"/>
        </w:rPr>
        <w:t>社会</w:t>
      </w:r>
      <w:r>
        <w:rPr>
          <w:rFonts w:hint="eastAsia" w:ascii="仿宋_GB2312" w:hAnsi="仿宋_GB2312" w:eastAsia="仿宋_GB2312" w:cs="仿宋_GB2312"/>
          <w:kern w:val="0"/>
          <w:sz w:val="32"/>
          <w:szCs w:val="40"/>
        </w:rPr>
        <w:t>保障</w:t>
      </w:r>
      <w:r>
        <w:rPr>
          <w:rFonts w:hint="eastAsia" w:ascii="仿宋_GB2312" w:hAnsi="仿宋_GB2312" w:eastAsia="仿宋_GB2312" w:cs="仿宋_GB2312"/>
          <w:kern w:val="0"/>
          <w:sz w:val="32"/>
          <w:szCs w:val="40"/>
          <w:lang w:eastAsia="zh-CN"/>
        </w:rPr>
        <w:t>卡、身份证</w:t>
      </w:r>
      <w:r>
        <w:rPr>
          <w:rFonts w:hint="eastAsia" w:ascii="仿宋_GB2312" w:hAnsi="仿宋_GB2312" w:eastAsia="仿宋_GB2312" w:cs="仿宋_GB2312"/>
          <w:kern w:val="0"/>
          <w:sz w:val="32"/>
          <w:szCs w:val="40"/>
          <w:lang w:val="en-US" w:eastAsia="zh-CN"/>
        </w:rPr>
        <w:t>及医保电子凭证</w:t>
      </w:r>
      <w:r>
        <w:rPr>
          <w:rFonts w:hint="eastAsia" w:ascii="仿宋_GB2312" w:hAnsi="仿宋_GB2312" w:eastAsia="仿宋_GB2312" w:cs="仿宋_GB2312"/>
          <w:kern w:val="0"/>
          <w:sz w:val="32"/>
          <w:szCs w:val="40"/>
        </w:rPr>
        <w:t>就医、购药</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并主动出示接受查验。不得利用其享受“双通道”购药待遇的机会转卖药品</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接受返还现金、实物或者获得其他非法利益。不得通过伪造、变造、隐匿、涂改、销毁医学文书、医学证明等有关资料</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骗取医疗保障基金。违法违规的</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依法依规处理。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rPr>
      </w:pPr>
      <w:r>
        <w:rPr>
          <w:rFonts w:hint="eastAsia" w:ascii="黑体" w:hAnsi="黑体" w:eastAsia="黑体" w:cs="黑体"/>
          <w:kern w:val="0"/>
          <w:sz w:val="32"/>
          <w:szCs w:val="40"/>
          <w:lang w:val="en-US" w:eastAsia="zh-CN"/>
        </w:rPr>
        <w:t>第三十条</w:t>
      </w:r>
      <w:r>
        <w:rPr>
          <w:rFonts w:hint="eastAsia" w:ascii="仿宋_GB2312" w:hAnsi="仿宋_GB2312" w:eastAsia="仿宋_GB2312" w:cs="仿宋_GB2312"/>
          <w:kern w:val="0"/>
          <w:sz w:val="32"/>
          <w:szCs w:val="40"/>
        </w:rPr>
        <w:t xml:space="preserve">  </w:t>
      </w:r>
      <w:r>
        <w:rPr>
          <w:rFonts w:hint="eastAsia" w:ascii="仿宋_GB2312" w:hAnsi="仿宋_GB2312" w:eastAsia="仿宋_GB2312" w:cs="仿宋_GB2312"/>
          <w:kern w:val="0"/>
          <w:sz w:val="32"/>
          <w:szCs w:val="40"/>
          <w:lang w:eastAsia="zh-CN"/>
        </w:rPr>
        <w:t>医保部门</w:t>
      </w:r>
      <w:r>
        <w:rPr>
          <w:rFonts w:hint="eastAsia" w:ascii="仿宋_GB2312" w:hAnsi="仿宋_GB2312" w:eastAsia="仿宋_GB2312" w:cs="仿宋_GB2312"/>
          <w:kern w:val="0"/>
          <w:sz w:val="32"/>
          <w:szCs w:val="40"/>
        </w:rPr>
        <w:t>要健全监督举报、智能监控、信用管理等机制</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完善细化医保审核规则</w:t>
      </w:r>
      <w:r>
        <w:rPr>
          <w:rFonts w:hint="eastAsia" w:ascii="仿宋_GB2312" w:hAnsi="仿宋_GB2312" w:eastAsia="仿宋_GB2312" w:cs="仿宋_GB2312"/>
          <w:kern w:val="0"/>
          <w:sz w:val="32"/>
          <w:szCs w:val="40"/>
          <w:lang w:eastAsia="zh-CN"/>
        </w:rPr>
        <w:t>，强化</w:t>
      </w:r>
      <w:r>
        <w:rPr>
          <w:rFonts w:hint="eastAsia" w:ascii="仿宋_GB2312" w:hAnsi="仿宋_GB2312" w:eastAsia="仿宋_GB2312" w:cs="仿宋_GB2312"/>
          <w:kern w:val="0"/>
          <w:sz w:val="32"/>
          <w:szCs w:val="40"/>
        </w:rPr>
        <w:t>智能监控</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要建立用药费用基金支出常规分析和监测</w:t>
      </w:r>
      <w:r>
        <w:rPr>
          <w:rFonts w:hint="eastAsia" w:ascii="仿宋_GB2312" w:hAnsi="仿宋_GB2312" w:eastAsia="仿宋_GB2312" w:cs="仿宋_GB2312"/>
          <w:kern w:val="0"/>
          <w:sz w:val="32"/>
          <w:szCs w:val="40"/>
          <w:lang w:eastAsia="zh-CN"/>
        </w:rPr>
        <w:t>机制，做到用药行为全流程、全方位监管，</w:t>
      </w:r>
      <w:r>
        <w:rPr>
          <w:rFonts w:hint="eastAsia" w:ascii="仿宋_GB2312" w:hAnsi="仿宋_GB2312" w:eastAsia="仿宋_GB2312" w:cs="仿宋_GB2312"/>
          <w:kern w:val="0"/>
          <w:sz w:val="32"/>
          <w:szCs w:val="40"/>
        </w:rPr>
        <w:t>严厉打击</w:t>
      </w:r>
      <w:r>
        <w:rPr>
          <w:rFonts w:hint="eastAsia" w:ascii="仿宋_GB2312" w:hAnsi="仿宋_GB2312" w:eastAsia="仿宋_GB2312" w:cs="仿宋_GB2312"/>
          <w:kern w:val="0"/>
          <w:sz w:val="32"/>
          <w:szCs w:val="40"/>
          <w:lang w:eastAsia="zh-CN"/>
        </w:rPr>
        <w:t>利用“双通道”管理机制套取医保基金</w:t>
      </w:r>
      <w:r>
        <w:rPr>
          <w:rFonts w:hint="eastAsia" w:ascii="仿宋_GB2312" w:hAnsi="仿宋_GB2312" w:eastAsia="仿宋_GB2312" w:cs="仿宋_GB2312"/>
          <w:kern w:val="0"/>
          <w:sz w:val="32"/>
          <w:szCs w:val="40"/>
        </w:rPr>
        <w:t>行为。加强宣传</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合理引导</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规范使用</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积极跟进政策措施的落地</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妥善处理政策执行过程中出现的问题</w:t>
      </w:r>
      <w:r>
        <w:rPr>
          <w:rFonts w:hint="eastAsia" w:ascii="仿宋_GB2312" w:hAnsi="仿宋_GB2312" w:eastAsia="仿宋_GB2312" w:cs="仿宋_GB2312"/>
          <w:kern w:val="0"/>
          <w:sz w:val="32"/>
          <w:szCs w:val="40"/>
          <w:lang w:eastAsia="zh-CN"/>
        </w:rPr>
        <w:t>，</w:t>
      </w:r>
      <w:r>
        <w:rPr>
          <w:rFonts w:hint="eastAsia" w:ascii="仿宋_GB2312" w:hAnsi="仿宋_GB2312" w:eastAsia="仿宋_GB2312" w:cs="仿宋_GB2312"/>
          <w:kern w:val="0"/>
          <w:sz w:val="32"/>
          <w:szCs w:val="40"/>
        </w:rPr>
        <w:t>不断完善“双通道”药品管理保障机制建设。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kern w:val="0"/>
          <w:sz w:val="32"/>
          <w:szCs w:val="40"/>
          <w:lang w:val="en-US" w:eastAsia="zh-CN"/>
        </w:rPr>
      </w:pPr>
      <w:r>
        <w:rPr>
          <w:rFonts w:hint="eastAsia" w:ascii="黑体" w:hAnsi="黑体" w:eastAsia="黑体" w:cs="黑体"/>
          <w:kern w:val="0"/>
          <w:sz w:val="32"/>
          <w:szCs w:val="40"/>
          <w:lang w:val="en-US" w:eastAsia="zh-CN"/>
        </w:rPr>
        <w:t>第六章  附  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40"/>
          <w:lang w:eastAsia="zh-CN"/>
        </w:rPr>
      </w:pPr>
      <w:r>
        <w:rPr>
          <w:rFonts w:hint="eastAsia" w:ascii="黑体" w:hAnsi="黑体" w:eastAsia="黑体" w:cs="黑体"/>
          <w:kern w:val="0"/>
          <w:sz w:val="32"/>
          <w:szCs w:val="40"/>
          <w:lang w:val="en-US" w:eastAsia="zh-CN"/>
        </w:rPr>
        <w:t>第三十一条</w:t>
      </w:r>
      <w:r>
        <w:rPr>
          <w:rFonts w:hint="eastAsia" w:ascii="仿宋_GB2312" w:hAnsi="仿宋_GB2312" w:eastAsia="仿宋_GB2312" w:cs="仿宋_GB2312"/>
          <w:kern w:val="0"/>
          <w:sz w:val="32"/>
          <w:szCs w:val="40"/>
        </w:rPr>
        <w:t xml:space="preserve"> </w:t>
      </w:r>
      <w:r>
        <w:rPr>
          <w:rFonts w:hint="eastAsia" w:ascii="仿宋_GB2312" w:hAnsi="仿宋_GB2312" w:eastAsia="仿宋_GB2312" w:cs="仿宋_GB2312"/>
          <w:kern w:val="0"/>
          <w:sz w:val="32"/>
          <w:szCs w:val="40"/>
          <w:lang w:val="en-US" w:eastAsia="zh-CN"/>
        </w:rPr>
        <w:t xml:space="preserve"> </w:t>
      </w:r>
      <w:r>
        <w:rPr>
          <w:rFonts w:hint="eastAsia" w:ascii="仿宋_GB2312" w:hAnsi="仿宋_GB2312" w:eastAsia="仿宋_GB2312" w:cs="仿宋_GB2312"/>
          <w:kern w:val="0"/>
          <w:sz w:val="32"/>
          <w:szCs w:val="40"/>
        </w:rPr>
        <w:t>本办法自</w:t>
      </w:r>
      <w:r>
        <w:rPr>
          <w:rFonts w:hint="eastAsia" w:ascii="仿宋_GB2312" w:hAnsi="仿宋_GB2312" w:eastAsia="仿宋_GB2312" w:cs="仿宋_GB2312"/>
          <w:kern w:val="0"/>
          <w:sz w:val="32"/>
          <w:szCs w:val="40"/>
          <w:lang w:val="en-US" w:eastAsia="zh-CN"/>
        </w:rPr>
        <w:t>2022年7月1日起</w:t>
      </w:r>
      <w:r>
        <w:rPr>
          <w:rFonts w:hint="eastAsia" w:ascii="仿宋_GB2312" w:hAnsi="仿宋_GB2312" w:eastAsia="仿宋_GB2312" w:cs="仿宋_GB2312"/>
          <w:kern w:val="0"/>
          <w:sz w:val="32"/>
          <w:szCs w:val="40"/>
        </w:rPr>
        <w:t>施行。</w:t>
      </w:r>
    </w:p>
    <w:p>
      <w:pPr>
        <w:pStyle w:val="2"/>
        <w:rPr>
          <w:rFonts w:hint="default" w:ascii="Times New Roman" w:hAnsi="Times New Roman" w:eastAsia="方正仿宋_GBK" w:cs="Times New Roman"/>
          <w:kern w:val="0"/>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2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0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6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6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60" w:lineRule="exact"/>
        <w:ind w:left="0" w:leftChars="0" w:firstLine="0" w:firstLineChars="0"/>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line="160" w:lineRule="exact"/>
        <w:ind w:left="0" w:leftChars="0" w:firstLine="0" w:firstLineChars="0"/>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beforeAutospacing="0" w:line="160" w:lineRule="exact"/>
        <w:ind w:left="0" w:leftChars="0" w:firstLine="0" w:firstLineChars="0"/>
        <w:textAlignment w:val="auto"/>
        <w:rPr>
          <w:rFonts w:hint="default" w:ascii="Times New Roman" w:hAnsi="Times New Roman" w:cs="Times New Roma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文道落花楷宋">
    <w:panose1 w:val="02000600090000000000"/>
    <w:charset w:val="86"/>
    <w:family w:val="auto"/>
    <w:pitch w:val="default"/>
    <w:sig w:usb0="00000001" w:usb1="08010410"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行楷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FD"/>
    <w:rsid w:val="001D15F5"/>
    <w:rsid w:val="001E4B77"/>
    <w:rsid w:val="00230AB0"/>
    <w:rsid w:val="00260CB5"/>
    <w:rsid w:val="003D6AD7"/>
    <w:rsid w:val="003E4B98"/>
    <w:rsid w:val="0042519B"/>
    <w:rsid w:val="004A07EE"/>
    <w:rsid w:val="004A1FFD"/>
    <w:rsid w:val="004B7C65"/>
    <w:rsid w:val="004C2CF8"/>
    <w:rsid w:val="00822E6C"/>
    <w:rsid w:val="009A184B"/>
    <w:rsid w:val="009E0237"/>
    <w:rsid w:val="00A723DC"/>
    <w:rsid w:val="00AA0677"/>
    <w:rsid w:val="00B23EB4"/>
    <w:rsid w:val="00D5568E"/>
    <w:rsid w:val="013D6444"/>
    <w:rsid w:val="01C93571"/>
    <w:rsid w:val="03976630"/>
    <w:rsid w:val="05AD1029"/>
    <w:rsid w:val="06504EAC"/>
    <w:rsid w:val="06BE5696"/>
    <w:rsid w:val="0A487F83"/>
    <w:rsid w:val="0BBD2522"/>
    <w:rsid w:val="0E073AAE"/>
    <w:rsid w:val="0FD27D1C"/>
    <w:rsid w:val="109B7694"/>
    <w:rsid w:val="124970F8"/>
    <w:rsid w:val="12F06E8F"/>
    <w:rsid w:val="148D07E7"/>
    <w:rsid w:val="18DE18AE"/>
    <w:rsid w:val="1A734007"/>
    <w:rsid w:val="1C90148B"/>
    <w:rsid w:val="1CE77BC2"/>
    <w:rsid w:val="1D266E5E"/>
    <w:rsid w:val="1E091D98"/>
    <w:rsid w:val="1E444FC0"/>
    <w:rsid w:val="21F87313"/>
    <w:rsid w:val="221B64FC"/>
    <w:rsid w:val="23D01D46"/>
    <w:rsid w:val="26365968"/>
    <w:rsid w:val="2BA03ACF"/>
    <w:rsid w:val="2D3B3080"/>
    <w:rsid w:val="2D6E6E2D"/>
    <w:rsid w:val="2E3636E0"/>
    <w:rsid w:val="2F591032"/>
    <w:rsid w:val="33991DFD"/>
    <w:rsid w:val="344E5B67"/>
    <w:rsid w:val="353E5DEC"/>
    <w:rsid w:val="37156025"/>
    <w:rsid w:val="398A45A6"/>
    <w:rsid w:val="39915E64"/>
    <w:rsid w:val="3A0E26AA"/>
    <w:rsid w:val="3D0E2199"/>
    <w:rsid w:val="3EE473D2"/>
    <w:rsid w:val="3FDE01B4"/>
    <w:rsid w:val="430A327D"/>
    <w:rsid w:val="452A25A8"/>
    <w:rsid w:val="45F47E40"/>
    <w:rsid w:val="461B1C1B"/>
    <w:rsid w:val="47BC0715"/>
    <w:rsid w:val="47E34173"/>
    <w:rsid w:val="47EA0B02"/>
    <w:rsid w:val="48A723C8"/>
    <w:rsid w:val="498E08F6"/>
    <w:rsid w:val="4A7C7D82"/>
    <w:rsid w:val="4AA73765"/>
    <w:rsid w:val="4BA31CD1"/>
    <w:rsid w:val="4CC004C4"/>
    <w:rsid w:val="4DC128F0"/>
    <w:rsid w:val="4E3C38AD"/>
    <w:rsid w:val="4F447EE0"/>
    <w:rsid w:val="519D07B4"/>
    <w:rsid w:val="522616BD"/>
    <w:rsid w:val="52646988"/>
    <w:rsid w:val="52B9209B"/>
    <w:rsid w:val="530D2965"/>
    <w:rsid w:val="53807E25"/>
    <w:rsid w:val="54AE19E4"/>
    <w:rsid w:val="56F81B72"/>
    <w:rsid w:val="57825DF0"/>
    <w:rsid w:val="59F4519C"/>
    <w:rsid w:val="5B5E5434"/>
    <w:rsid w:val="5D0302E9"/>
    <w:rsid w:val="5DFF2DFC"/>
    <w:rsid w:val="605D22BF"/>
    <w:rsid w:val="60EB0285"/>
    <w:rsid w:val="62396F61"/>
    <w:rsid w:val="64330D9B"/>
    <w:rsid w:val="64EF1263"/>
    <w:rsid w:val="6633766C"/>
    <w:rsid w:val="6AB96AE2"/>
    <w:rsid w:val="6B3E0417"/>
    <w:rsid w:val="6BFA74E2"/>
    <w:rsid w:val="6CB41642"/>
    <w:rsid w:val="6E3A1B14"/>
    <w:rsid w:val="6FA93114"/>
    <w:rsid w:val="70DF58CF"/>
    <w:rsid w:val="70FE4FDF"/>
    <w:rsid w:val="71C20EB0"/>
    <w:rsid w:val="72E44D5D"/>
    <w:rsid w:val="73A15226"/>
    <w:rsid w:val="73F97768"/>
    <w:rsid w:val="7500116F"/>
    <w:rsid w:val="75803988"/>
    <w:rsid w:val="75852726"/>
    <w:rsid w:val="77F66446"/>
    <w:rsid w:val="78A034AF"/>
    <w:rsid w:val="79460AD0"/>
    <w:rsid w:val="7B2C471E"/>
    <w:rsid w:val="7B935BCE"/>
    <w:rsid w:val="7D861920"/>
    <w:rsid w:val="7D962862"/>
    <w:rsid w:val="7E3D25F9"/>
    <w:rsid w:val="7E6D2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snapToGrid w:val="0"/>
      <w:spacing w:line="300" w:lineRule="auto"/>
      <w:ind w:firstLine="556"/>
    </w:pPr>
    <w:rPr>
      <w:rFonts w:ascii="仿宋_GB2312" w:hAnsi="宋体" w:eastAsia="仿宋_GB2312" w:cs="宋体"/>
      <w:kern w:val="0"/>
    </w:rPr>
  </w:style>
  <w:style w:type="paragraph" w:styleId="3">
    <w:name w:val="Body Text"/>
    <w:basedOn w:val="1"/>
    <w:next w:val="4"/>
    <w:qFormat/>
    <w:uiPriority w:val="0"/>
    <w:pPr>
      <w:autoSpaceDE w:val="0"/>
      <w:autoSpaceDN w:val="0"/>
      <w:jc w:val="left"/>
    </w:pPr>
    <w:rPr>
      <w:rFonts w:ascii="宋体" w:hAnsi="宋体"/>
      <w:kern w:val="0"/>
      <w:sz w:val="20"/>
      <w:szCs w:val="20"/>
      <w:lang w:eastAsia="en-US"/>
    </w:rPr>
  </w:style>
  <w:style w:type="paragraph" w:styleId="4">
    <w:name w:val="Body Text First Indent 2"/>
    <w:basedOn w:val="5"/>
    <w:unhideWhenUsed/>
    <w:qFormat/>
    <w:uiPriority w:val="99"/>
    <w:pPr>
      <w:spacing w:before="100" w:beforeAutospacing="1" w:after="0"/>
      <w:ind w:firstLine="420" w:firstLineChars="200"/>
    </w:pPr>
    <w:rPr>
      <w:rFonts w:ascii="Times New Roman" w:hAnsi="Times New Roman" w:eastAsia="宋体" w:cs="Times New Roman"/>
      <w:spacing w:val="20"/>
      <w:szCs w:val="21"/>
    </w:rPr>
  </w:style>
  <w:style w:type="paragraph" w:styleId="5">
    <w:name w:val="Body Text Indent"/>
    <w:basedOn w:val="1"/>
    <w:unhideWhenUsed/>
    <w:qFormat/>
    <w:uiPriority w:val="0"/>
    <w:pPr>
      <w:ind w:firstLine="630"/>
    </w:pPr>
    <w:rPr>
      <w:rFonts w:ascii="仿宋_GB2312" w:hAnsi="Calibri" w:eastAsia="仿宋_GB2312" w:cs="Times New Roman"/>
      <w:sz w:val="32"/>
      <w:szCs w:val="20"/>
    </w:rPr>
  </w:style>
  <w:style w:type="paragraph" w:styleId="6">
    <w:name w:val="Date"/>
    <w:basedOn w:val="1"/>
    <w:next w:val="1"/>
    <w:link w:val="16"/>
    <w:semiHidden/>
    <w:unhideWhenUsed/>
    <w:qFormat/>
    <w:uiPriority w:val="99"/>
    <w:pPr>
      <w:ind w:left="100" w:leftChars="2500"/>
    </w:p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3"/>
    <w:qFormat/>
    <w:uiPriority w:val="0"/>
    <w:pPr>
      <w:ind w:firstLine="420" w:firstLineChars="100"/>
    </w:pPr>
  </w:style>
  <w:style w:type="character" w:styleId="13">
    <w:name w:val="page number"/>
    <w:basedOn w:val="12"/>
    <w:qFormat/>
    <w:uiPriority w:val="0"/>
  </w:style>
  <w:style w:type="character" w:customStyle="1" w:styleId="14">
    <w:name w:val="页眉 Char"/>
    <w:basedOn w:val="12"/>
    <w:link w:val="8"/>
    <w:qFormat/>
    <w:uiPriority w:val="99"/>
    <w:rPr>
      <w:kern w:val="2"/>
      <w:sz w:val="18"/>
      <w:szCs w:val="18"/>
    </w:rPr>
  </w:style>
  <w:style w:type="character" w:customStyle="1" w:styleId="15">
    <w:name w:val="页脚 Char"/>
    <w:basedOn w:val="12"/>
    <w:link w:val="7"/>
    <w:qFormat/>
    <w:uiPriority w:val="99"/>
    <w:rPr>
      <w:kern w:val="2"/>
      <w:sz w:val="18"/>
      <w:szCs w:val="18"/>
    </w:rPr>
  </w:style>
  <w:style w:type="character" w:customStyle="1" w:styleId="16">
    <w:name w:val="日期 Char"/>
    <w:basedOn w:val="12"/>
    <w:link w:val="6"/>
    <w:semiHidden/>
    <w:qFormat/>
    <w:uiPriority w:val="99"/>
    <w:rPr>
      <w:kern w:val="2"/>
      <w:sz w:val="21"/>
      <w:szCs w:val="22"/>
    </w:rPr>
  </w:style>
  <w:style w:type="character" w:customStyle="1" w:styleId="17">
    <w:name w:val="15"/>
    <w:basedOn w:val="12"/>
    <w:qFormat/>
    <w:uiPriority w:val="0"/>
    <w:rPr>
      <w:rFonts w:hint="default" w:ascii="Calibri" w:hAnsi="Calibri" w:eastAsia="宋体" w:cs="Times New Roman"/>
      <w:kern w:val="2"/>
      <w:sz w:val="21"/>
      <w:szCs w:val="21"/>
    </w:rPr>
  </w:style>
  <w:style w:type="character" w:customStyle="1" w:styleId="18">
    <w:name w:val="NormalCharacter"/>
    <w:semiHidden/>
    <w:qFormat/>
    <w:uiPriority w:val="0"/>
    <w:rPr>
      <w:rFonts w:ascii="宋体" w:hAnsi="宋体" w:eastAsia="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D43602-DE71-4BF6-B110-DD54265950D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821</Words>
  <Characters>840</Characters>
  <Lines>4</Lines>
  <Paragraphs>1</Paragraphs>
  <TotalTime>3</TotalTime>
  <ScaleCrop>false</ScaleCrop>
  <LinksUpToDate>false</LinksUpToDate>
  <CharactersWithSpaces>878</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2019-12-16T06:41:00Z</dcterms:created>
  <dc:creator>lenovo</dc:creator>
  <cp:lastModifiedBy>Administrator</cp:lastModifiedBy>
  <cp:lastPrinted>2022-06-27T07:47:00Z</cp:lastPrinted>
  <dcterms:modified xsi:type="dcterms:W3CDTF">2023-11-16T08:22:57Z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50D1A6FAB61D4FB5B964EED98EAB2EBD</vt:lpwstr>
  </property>
</Properties>
</file>